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B9015E" w14:textId="6AD7994A" w:rsidR="00D60EF1" w:rsidRDefault="00D60EF1" w:rsidP="00D60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RAN WG1 #104-bis-e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5CEA" w:rsidRPr="00905CEA">
        <w:rPr>
          <w:b/>
          <w:noProof/>
          <w:sz w:val="24"/>
        </w:rPr>
        <w:t>R1-2103072</w:t>
      </w:r>
    </w:p>
    <w:p w14:paraId="72764438" w14:textId="77777777" w:rsidR="00D60EF1" w:rsidRDefault="00D60EF1" w:rsidP="00D60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April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April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6EC8317E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874392">
        <w:rPr>
          <w:rFonts w:ascii="Arial" w:hAnsi="Arial"/>
          <w:sz w:val="24"/>
        </w:rPr>
        <w:t>8.</w:t>
      </w:r>
      <w:r w:rsidR="009B4B23">
        <w:rPr>
          <w:rFonts w:ascii="Arial" w:hAnsi="Arial"/>
          <w:sz w:val="24"/>
        </w:rPr>
        <w:t>15</w:t>
      </w:r>
      <w:r w:rsidR="00874392">
        <w:rPr>
          <w:rFonts w:ascii="Arial" w:hAnsi="Arial"/>
          <w:sz w:val="24"/>
        </w:rPr>
        <w:t>.</w:t>
      </w:r>
      <w:r w:rsidR="00E2389A">
        <w:rPr>
          <w:rFonts w:ascii="Arial" w:hAnsi="Arial"/>
          <w:sz w:val="24"/>
        </w:rPr>
        <w:t>3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3F64234E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E2389A" w:rsidRPr="00E2389A">
        <w:rPr>
          <w:rFonts w:ascii="Arial" w:hAnsi="Arial"/>
          <w:sz w:val="24"/>
        </w:rPr>
        <w:t>Timing relationship enhancements</w:t>
      </w:r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1C61593" w14:textId="77777777" w:rsidR="003009A5" w:rsidRDefault="003009A5" w:rsidP="003009A5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47367EA5" w14:textId="77777777" w:rsidR="003009A5" w:rsidRDefault="003009A5" w:rsidP="003009A5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62B88D1C" w14:textId="7EC394A1" w:rsidR="00D95F0C" w:rsidRDefault="00D95F0C" w:rsidP="0094584E">
      <w:pPr>
        <w:rPr>
          <w:lang w:val="en-US"/>
        </w:rPr>
      </w:pPr>
      <w:r>
        <w:rPr>
          <w:lang w:val="en-US"/>
        </w:rPr>
        <w:t>In the previous RAN1 meeting, RAN1#104-e, the following agreements were made under this agenda item:</w:t>
      </w:r>
    </w:p>
    <w:p w14:paraId="472CE259" w14:textId="77777777" w:rsidR="00B07B9D" w:rsidRDefault="00B07B9D" w:rsidP="00B07B9D">
      <w:pPr>
        <w:rPr>
          <w:lang w:eastAsia="x-none"/>
        </w:rPr>
      </w:pPr>
      <w:r w:rsidRPr="00661E50">
        <w:rPr>
          <w:highlight w:val="green"/>
          <w:lang w:eastAsia="x-none"/>
        </w:rPr>
        <w:t>Agreement:</w:t>
      </w:r>
    </w:p>
    <w:p w14:paraId="1FF4563D" w14:textId="77777777" w:rsidR="00B07B9D" w:rsidRDefault="00B07B9D" w:rsidP="00B07B9D">
      <w:pPr>
        <w:rPr>
          <w:lang w:eastAsia="x-none"/>
        </w:rPr>
      </w:pPr>
      <w:r>
        <w:rPr>
          <w:lang w:eastAsia="x-none"/>
        </w:rPr>
        <w:t xml:space="preserve">For NB-IoT over NTN, at least the following timing relationships need to be studied individually for checking whether enhancement is necessary and beneficial: </w:t>
      </w:r>
    </w:p>
    <w:p w14:paraId="7B9D16D5" w14:textId="77777777" w:rsidR="00B07B9D" w:rsidRDefault="00B07B9D" w:rsidP="00B07B9D">
      <w:pPr>
        <w:numPr>
          <w:ilvl w:val="0"/>
          <w:numId w:val="28"/>
        </w:numPr>
        <w:spacing w:after="0"/>
        <w:rPr>
          <w:lang w:eastAsia="x-none"/>
        </w:rPr>
      </w:pPr>
      <w:r>
        <w:rPr>
          <w:lang w:eastAsia="x-none"/>
        </w:rPr>
        <w:t xml:space="preserve">NPDCCH to NPUSCH format 1 </w:t>
      </w:r>
    </w:p>
    <w:p w14:paraId="5481DDD1" w14:textId="77777777" w:rsidR="00B07B9D" w:rsidRDefault="00B07B9D" w:rsidP="00B07B9D">
      <w:pPr>
        <w:numPr>
          <w:ilvl w:val="0"/>
          <w:numId w:val="28"/>
        </w:numPr>
        <w:spacing w:after="0"/>
        <w:rPr>
          <w:lang w:eastAsia="x-none"/>
        </w:rPr>
      </w:pPr>
      <w:r>
        <w:rPr>
          <w:lang w:eastAsia="x-none"/>
        </w:rPr>
        <w:t xml:space="preserve">RAR grant to NPUSCH format 1 </w:t>
      </w:r>
    </w:p>
    <w:p w14:paraId="15277F42" w14:textId="77777777" w:rsidR="00B07B9D" w:rsidRDefault="00B07B9D" w:rsidP="00B07B9D">
      <w:pPr>
        <w:numPr>
          <w:ilvl w:val="0"/>
          <w:numId w:val="28"/>
        </w:numPr>
        <w:spacing w:after="0"/>
        <w:rPr>
          <w:lang w:eastAsia="x-none"/>
        </w:rPr>
      </w:pPr>
      <w:r>
        <w:rPr>
          <w:lang w:eastAsia="x-none"/>
        </w:rPr>
        <w:t xml:space="preserve">NPDSCH to HARQ-ACK on NPUSCH format 2 </w:t>
      </w:r>
    </w:p>
    <w:p w14:paraId="2749C2C5" w14:textId="77777777" w:rsidR="00B07B9D" w:rsidRDefault="00B07B9D" w:rsidP="00B07B9D">
      <w:pPr>
        <w:numPr>
          <w:ilvl w:val="0"/>
          <w:numId w:val="28"/>
        </w:numPr>
        <w:spacing w:after="0"/>
        <w:rPr>
          <w:lang w:eastAsia="x-none"/>
        </w:rPr>
      </w:pPr>
      <w:r>
        <w:rPr>
          <w:lang w:eastAsia="x-none"/>
        </w:rPr>
        <w:t xml:space="preserve">NPDCCH order to NPRACH </w:t>
      </w:r>
    </w:p>
    <w:p w14:paraId="53C1D775" w14:textId="77777777" w:rsidR="00B07B9D" w:rsidRDefault="00B07B9D" w:rsidP="00B07B9D">
      <w:pPr>
        <w:numPr>
          <w:ilvl w:val="0"/>
          <w:numId w:val="28"/>
        </w:numPr>
        <w:spacing w:after="0"/>
        <w:rPr>
          <w:lang w:eastAsia="x-none"/>
        </w:rPr>
      </w:pPr>
      <w:r>
        <w:rPr>
          <w:lang w:eastAsia="x-none"/>
        </w:rPr>
        <w:t>Timing advance command activation</w:t>
      </w:r>
    </w:p>
    <w:p w14:paraId="4E737FD1" w14:textId="77777777" w:rsidR="00B07B9D" w:rsidRDefault="00B07B9D" w:rsidP="00B07B9D">
      <w:pPr>
        <w:numPr>
          <w:ilvl w:val="0"/>
          <w:numId w:val="28"/>
        </w:numPr>
        <w:spacing w:after="0"/>
        <w:rPr>
          <w:lang w:eastAsia="x-none"/>
        </w:rPr>
      </w:pPr>
      <w:r>
        <w:rPr>
          <w:lang w:eastAsia="x-none"/>
        </w:rPr>
        <w:t>FFS: Other NB-IoT timing relationships</w:t>
      </w:r>
    </w:p>
    <w:p w14:paraId="3FFB4660" w14:textId="77777777" w:rsidR="00B07B9D" w:rsidRDefault="00B07B9D" w:rsidP="00B07B9D">
      <w:pPr>
        <w:rPr>
          <w:lang w:eastAsia="x-none"/>
        </w:rPr>
      </w:pPr>
    </w:p>
    <w:p w14:paraId="25C7955D" w14:textId="77777777" w:rsidR="00B07B9D" w:rsidRDefault="00B07B9D" w:rsidP="00B07B9D">
      <w:pPr>
        <w:rPr>
          <w:lang w:eastAsia="x-none"/>
        </w:rPr>
      </w:pPr>
      <w:r w:rsidRPr="00661E50">
        <w:rPr>
          <w:highlight w:val="green"/>
          <w:lang w:eastAsia="x-none"/>
        </w:rPr>
        <w:t>Agreement:</w:t>
      </w:r>
    </w:p>
    <w:p w14:paraId="74B9C502" w14:textId="77777777" w:rsidR="00B07B9D" w:rsidRPr="00661E50" w:rsidRDefault="00B07B9D" w:rsidP="00B07B9D">
      <w:pPr>
        <w:rPr>
          <w:lang w:val="en-US" w:eastAsia="x-none"/>
        </w:rPr>
      </w:pPr>
      <w:r w:rsidRPr="00661E50">
        <w:rPr>
          <w:lang w:val="en-US" w:eastAsia="x-none"/>
        </w:rPr>
        <w:t xml:space="preserve">For </w:t>
      </w:r>
      <w:proofErr w:type="spellStart"/>
      <w:r w:rsidRPr="00661E50">
        <w:rPr>
          <w:lang w:val="en-US" w:eastAsia="x-none"/>
        </w:rPr>
        <w:t>eMTC</w:t>
      </w:r>
      <w:proofErr w:type="spellEnd"/>
      <w:r>
        <w:rPr>
          <w:lang w:val="en-US" w:eastAsia="x-none"/>
        </w:rPr>
        <w:t xml:space="preserve"> over NTN</w:t>
      </w:r>
      <w:r w:rsidRPr="00661E50">
        <w:rPr>
          <w:lang w:val="en-US" w:eastAsia="x-none"/>
        </w:rPr>
        <w:t>, at least the following timing relationships can be studied individually for checking whether enhancement is necessary and beneficial:</w:t>
      </w:r>
    </w:p>
    <w:p w14:paraId="15C7CEB9" w14:textId="77777777" w:rsidR="00B07B9D" w:rsidRPr="00661E50" w:rsidRDefault="00B07B9D" w:rsidP="00B07B9D">
      <w:pPr>
        <w:numPr>
          <w:ilvl w:val="0"/>
          <w:numId w:val="29"/>
        </w:numPr>
        <w:spacing w:after="0"/>
        <w:rPr>
          <w:lang w:val="en-US" w:eastAsia="x-none"/>
        </w:rPr>
      </w:pPr>
      <w:r w:rsidRPr="00661E50">
        <w:rPr>
          <w:lang w:val="en-US" w:eastAsia="x-none"/>
        </w:rPr>
        <w:t xml:space="preserve">MPDCCH to PUSCH </w:t>
      </w:r>
    </w:p>
    <w:p w14:paraId="2D523F63" w14:textId="77777777" w:rsidR="00B07B9D" w:rsidRPr="00661E50" w:rsidRDefault="00B07B9D" w:rsidP="00B07B9D">
      <w:pPr>
        <w:numPr>
          <w:ilvl w:val="0"/>
          <w:numId w:val="29"/>
        </w:numPr>
        <w:spacing w:after="0"/>
        <w:rPr>
          <w:lang w:val="en-US" w:eastAsia="x-none"/>
        </w:rPr>
      </w:pPr>
      <w:r w:rsidRPr="00661E50">
        <w:rPr>
          <w:lang w:val="en-US" w:eastAsia="x-none"/>
        </w:rPr>
        <w:t xml:space="preserve">RAR grant to PUSCH </w:t>
      </w:r>
    </w:p>
    <w:p w14:paraId="47568AF0" w14:textId="77777777" w:rsidR="00B07B9D" w:rsidRPr="00661E50" w:rsidRDefault="00B07B9D" w:rsidP="00B07B9D">
      <w:pPr>
        <w:numPr>
          <w:ilvl w:val="0"/>
          <w:numId w:val="29"/>
        </w:numPr>
        <w:spacing w:after="0"/>
        <w:rPr>
          <w:lang w:val="en-US" w:eastAsia="x-none"/>
        </w:rPr>
      </w:pPr>
      <w:r w:rsidRPr="00661E50">
        <w:rPr>
          <w:lang w:val="en-US" w:eastAsia="x-none"/>
        </w:rPr>
        <w:t xml:space="preserve">PDCCH order to PRACH </w:t>
      </w:r>
    </w:p>
    <w:p w14:paraId="5E1CE816" w14:textId="77777777" w:rsidR="00B07B9D" w:rsidRPr="00661E50" w:rsidRDefault="00B07B9D" w:rsidP="00B07B9D">
      <w:pPr>
        <w:numPr>
          <w:ilvl w:val="0"/>
          <w:numId w:val="29"/>
        </w:numPr>
        <w:spacing w:after="0"/>
        <w:rPr>
          <w:lang w:val="en-US" w:eastAsia="x-none"/>
        </w:rPr>
      </w:pPr>
      <w:r w:rsidRPr="00661E50">
        <w:rPr>
          <w:lang w:val="en-US" w:eastAsia="x-none"/>
        </w:rPr>
        <w:t xml:space="preserve">MPDCCH to scheduled uplink SPS </w:t>
      </w:r>
    </w:p>
    <w:p w14:paraId="16007819" w14:textId="77777777" w:rsidR="00B07B9D" w:rsidRPr="00661E50" w:rsidRDefault="00B07B9D" w:rsidP="00B07B9D">
      <w:pPr>
        <w:numPr>
          <w:ilvl w:val="0"/>
          <w:numId w:val="29"/>
        </w:numPr>
        <w:spacing w:after="0"/>
        <w:rPr>
          <w:lang w:val="en-US" w:eastAsia="x-none"/>
        </w:rPr>
      </w:pPr>
      <w:r w:rsidRPr="00661E50">
        <w:rPr>
          <w:lang w:val="en-US" w:eastAsia="x-none"/>
        </w:rPr>
        <w:t xml:space="preserve">PUSCH to HARQ-ACK on PUCCH </w:t>
      </w:r>
    </w:p>
    <w:p w14:paraId="2B0C2456" w14:textId="77777777" w:rsidR="00B07B9D" w:rsidRPr="00661E50" w:rsidRDefault="00B07B9D" w:rsidP="00B07B9D">
      <w:pPr>
        <w:numPr>
          <w:ilvl w:val="0"/>
          <w:numId w:val="29"/>
        </w:numPr>
        <w:spacing w:after="0"/>
        <w:rPr>
          <w:lang w:val="en-US" w:eastAsia="x-none"/>
        </w:rPr>
      </w:pPr>
      <w:r w:rsidRPr="00661E50">
        <w:rPr>
          <w:lang w:val="en-US" w:eastAsia="x-none"/>
        </w:rPr>
        <w:t xml:space="preserve">CSI reference resource timing </w:t>
      </w:r>
    </w:p>
    <w:p w14:paraId="0BDAB523" w14:textId="77777777" w:rsidR="00B07B9D" w:rsidRPr="00661E50" w:rsidRDefault="00B07B9D" w:rsidP="00B07B9D">
      <w:pPr>
        <w:numPr>
          <w:ilvl w:val="0"/>
          <w:numId w:val="29"/>
        </w:numPr>
        <w:spacing w:after="0"/>
        <w:rPr>
          <w:lang w:val="en-US" w:eastAsia="x-none"/>
        </w:rPr>
      </w:pPr>
      <w:r w:rsidRPr="00661E50">
        <w:rPr>
          <w:lang w:val="en-US" w:eastAsia="x-none"/>
        </w:rPr>
        <w:t xml:space="preserve">MPDCCH to aperiodic SRS </w:t>
      </w:r>
    </w:p>
    <w:p w14:paraId="6063B48A" w14:textId="77777777" w:rsidR="00B07B9D" w:rsidRPr="00661E50" w:rsidRDefault="00B07B9D" w:rsidP="00B07B9D">
      <w:pPr>
        <w:numPr>
          <w:ilvl w:val="0"/>
          <w:numId w:val="29"/>
        </w:numPr>
        <w:spacing w:after="0"/>
        <w:rPr>
          <w:lang w:val="en-US" w:eastAsia="x-none"/>
        </w:rPr>
      </w:pPr>
      <w:r w:rsidRPr="00661E50">
        <w:rPr>
          <w:lang w:val="en-US" w:eastAsia="x-none"/>
        </w:rPr>
        <w:t>Timing advance command activation</w:t>
      </w:r>
    </w:p>
    <w:p w14:paraId="6C11EE24" w14:textId="77777777" w:rsidR="00B07B9D" w:rsidRPr="00661E50" w:rsidRDefault="00B07B9D" w:rsidP="00B07B9D">
      <w:pPr>
        <w:numPr>
          <w:ilvl w:val="0"/>
          <w:numId w:val="29"/>
        </w:numPr>
        <w:spacing w:after="0"/>
        <w:rPr>
          <w:b/>
          <w:bCs/>
          <w:lang w:val="en-US" w:eastAsia="x-none"/>
        </w:rPr>
      </w:pPr>
      <w:r w:rsidRPr="00661E50">
        <w:rPr>
          <w:lang w:val="en-US" w:eastAsia="x-none"/>
        </w:rPr>
        <w:t>F</w:t>
      </w:r>
      <w:r>
        <w:rPr>
          <w:lang w:val="en-US" w:eastAsia="x-none"/>
        </w:rPr>
        <w:t>F</w:t>
      </w:r>
      <w:r w:rsidRPr="00661E50">
        <w:rPr>
          <w:lang w:val="en-US" w:eastAsia="x-none"/>
        </w:rPr>
        <w:t xml:space="preserve">S: Other </w:t>
      </w:r>
      <w:proofErr w:type="spellStart"/>
      <w:r w:rsidRPr="00661E50">
        <w:rPr>
          <w:lang w:val="en-US" w:eastAsia="x-none"/>
        </w:rPr>
        <w:t>eMTC</w:t>
      </w:r>
      <w:proofErr w:type="spellEnd"/>
      <w:r w:rsidRPr="00661E50">
        <w:rPr>
          <w:lang w:val="en-US" w:eastAsia="x-none"/>
        </w:rPr>
        <w:t xml:space="preserve"> timing relationships</w:t>
      </w:r>
    </w:p>
    <w:p w14:paraId="06E9DD62" w14:textId="77777777" w:rsidR="00B07B9D" w:rsidRDefault="00B07B9D" w:rsidP="00B07B9D">
      <w:pPr>
        <w:rPr>
          <w:lang w:eastAsia="x-none"/>
        </w:rPr>
      </w:pPr>
    </w:p>
    <w:p w14:paraId="54DEA748" w14:textId="77777777" w:rsidR="00B07B9D" w:rsidRDefault="00B07B9D" w:rsidP="00B07B9D">
      <w:pPr>
        <w:rPr>
          <w:lang w:val="en-US" w:eastAsia="x-none"/>
        </w:rPr>
      </w:pPr>
      <w:r w:rsidRPr="00661E50">
        <w:rPr>
          <w:highlight w:val="green"/>
          <w:lang w:val="en-US" w:eastAsia="x-none"/>
        </w:rPr>
        <w:t>Agreement:</w:t>
      </w:r>
      <w:r>
        <w:rPr>
          <w:lang w:val="en-US" w:eastAsia="x-none"/>
        </w:rPr>
        <w:t xml:space="preserve"> </w:t>
      </w:r>
    </w:p>
    <w:p w14:paraId="1305F394" w14:textId="6600AD10" w:rsidR="00B07B9D" w:rsidRDefault="00B07B9D" w:rsidP="00B07B9D">
      <w:pPr>
        <w:rPr>
          <w:lang w:val="en-US" w:eastAsia="x-none"/>
        </w:rPr>
      </w:pPr>
      <w:r>
        <w:rPr>
          <w:lang w:val="en-US" w:eastAsia="x-none"/>
        </w:rPr>
        <w:t>I</w:t>
      </w:r>
      <w:r w:rsidRPr="00661E50">
        <w:rPr>
          <w:lang w:val="en-US" w:eastAsia="x-none"/>
        </w:rPr>
        <w:t xml:space="preserve">dentify IoT-NTN configurations needing activation/de-activation via MAC CE and their timing relationships. </w:t>
      </w:r>
    </w:p>
    <w:p w14:paraId="665E2B16" w14:textId="77777777" w:rsidR="00B07B9D" w:rsidRDefault="00B07B9D" w:rsidP="00B07B9D">
      <w:pPr>
        <w:rPr>
          <w:lang w:val="en-US" w:eastAsia="x-none"/>
        </w:rPr>
      </w:pPr>
      <w:r w:rsidRPr="00EB2362">
        <w:rPr>
          <w:highlight w:val="green"/>
          <w:lang w:val="en-US" w:eastAsia="x-none"/>
        </w:rPr>
        <w:t>Agreement:</w:t>
      </w:r>
    </w:p>
    <w:p w14:paraId="3029F0E8" w14:textId="38A35AFC" w:rsidR="00D95F0C" w:rsidRDefault="00B07B9D" w:rsidP="0094584E">
      <w:pPr>
        <w:rPr>
          <w:lang w:val="en-US" w:eastAsia="x-none"/>
        </w:rPr>
      </w:pPr>
      <w:r w:rsidRPr="00661E50">
        <w:rPr>
          <w:lang w:val="en-US" w:eastAsia="x-none"/>
        </w:rPr>
        <w:t xml:space="preserve">Study the impact of large RTD </w:t>
      </w:r>
      <w:r>
        <w:rPr>
          <w:lang w:val="en-US" w:eastAsia="x-none"/>
        </w:rPr>
        <w:t xml:space="preserve">(which impacts TA) </w:t>
      </w:r>
      <w:r w:rsidRPr="00661E50">
        <w:rPr>
          <w:lang w:val="en-US" w:eastAsia="x-none"/>
        </w:rPr>
        <w:t>on HD-FDD UL-DL timing relationships and check whether enhancement is necessary and beneficial.</w:t>
      </w:r>
    </w:p>
    <w:p w14:paraId="7C5654A4" w14:textId="72063D7A" w:rsidR="00B53A01" w:rsidRDefault="00874392" w:rsidP="0094584E">
      <w:pPr>
        <w:rPr>
          <w:lang w:val="en-US"/>
        </w:rPr>
      </w:pPr>
      <w:r w:rsidRPr="00874392">
        <w:rPr>
          <w:lang w:val="en-US"/>
        </w:rPr>
        <w:t xml:space="preserve">In this contribution, we provide our views on </w:t>
      </w:r>
      <w:r w:rsidR="00045BDF">
        <w:t>necessary enhancements</w:t>
      </w:r>
      <w:r w:rsidR="001B1620">
        <w:t xml:space="preserve"> to NB-IoT/</w:t>
      </w:r>
      <w:proofErr w:type="spellStart"/>
      <w:r w:rsidR="001B1620">
        <w:t>eMTC</w:t>
      </w:r>
      <w:proofErr w:type="spellEnd"/>
      <w:r w:rsidR="001B1620">
        <w:t xml:space="preserve"> over NTN</w:t>
      </w:r>
      <w:r w:rsidR="0094584E">
        <w:t xml:space="preserve"> as it relates to timing relationship enhancements</w:t>
      </w:r>
      <w:r>
        <w:rPr>
          <w:lang w:val="en-US"/>
        </w:rPr>
        <w:t>.</w:t>
      </w:r>
    </w:p>
    <w:p w14:paraId="747175A4" w14:textId="2D3DC9E3" w:rsidR="00946ECC" w:rsidRPr="00946ECC" w:rsidRDefault="00946ECC" w:rsidP="0094584E">
      <w:pPr>
        <w:rPr>
          <w:lang w:val="en-US"/>
        </w:rPr>
      </w:pPr>
      <w:r>
        <w:rPr>
          <w:lang w:val="en-US"/>
        </w:rPr>
        <w:t xml:space="preserve">We consider the proposals and observations marked in </w:t>
      </w:r>
      <w:r>
        <w:rPr>
          <w:b/>
          <w:bCs/>
          <w:color w:val="FF0000"/>
          <w:lang w:val="en-US"/>
        </w:rPr>
        <w:t>red boldface</w:t>
      </w:r>
      <w:r>
        <w:rPr>
          <w:lang w:val="en-US"/>
        </w:rPr>
        <w:t xml:space="preserve"> to be </w:t>
      </w:r>
      <w:r>
        <w:rPr>
          <w:color w:val="FF0000"/>
          <w:lang w:val="en-US"/>
        </w:rPr>
        <w:t>essential for Release 17</w:t>
      </w:r>
      <w:r>
        <w:rPr>
          <w:lang w:val="en-US"/>
        </w:rPr>
        <w:t xml:space="preserve">; proposals and observations marked in </w:t>
      </w:r>
      <w:r>
        <w:rPr>
          <w:b/>
          <w:bCs/>
          <w:color w:val="ED7D31" w:themeColor="accent2"/>
          <w:lang w:val="en-US"/>
        </w:rPr>
        <w:t>orange boldface</w:t>
      </w:r>
      <w:r>
        <w:rPr>
          <w:lang w:val="en-US"/>
        </w:rPr>
        <w:t xml:space="preserve"> are ones </w:t>
      </w:r>
      <w:r>
        <w:rPr>
          <w:color w:val="ED7D31" w:themeColor="accent2"/>
          <w:lang w:val="en-US"/>
        </w:rPr>
        <w:t xml:space="preserve">recommend to be captured additionally (to the essential proposals) in </w:t>
      </w:r>
      <w:r>
        <w:rPr>
          <w:color w:val="ED7D31" w:themeColor="accent2"/>
          <w:lang w:val="en-US"/>
        </w:rPr>
        <w:lastRenderedPageBreak/>
        <w:t>the TR</w:t>
      </w:r>
      <w:r>
        <w:rPr>
          <w:lang w:val="en-US"/>
        </w:rPr>
        <w:t xml:space="preserve"> as </w:t>
      </w:r>
      <w:r>
        <w:rPr>
          <w:i/>
          <w:iCs/>
          <w:lang w:val="en-US"/>
        </w:rPr>
        <w:t>guiding principles and observations for future work</w:t>
      </w:r>
      <w:r>
        <w:rPr>
          <w:lang w:val="en-US"/>
        </w:rPr>
        <w:t>. Proposals without any color codes (i.e., not red or orange) contain useful optimizations.</w:t>
      </w:r>
    </w:p>
    <w:p w14:paraId="28892F00" w14:textId="7A68F3D2" w:rsidR="00B86860" w:rsidRDefault="00B53A01" w:rsidP="003009A5">
      <w:pPr>
        <w:pStyle w:val="Heading1"/>
        <w:numPr>
          <w:ilvl w:val="0"/>
          <w:numId w:val="1"/>
        </w:numPr>
        <w:tabs>
          <w:tab w:val="clear" w:pos="1140"/>
        </w:tabs>
        <w:jc w:val="both"/>
      </w:pPr>
      <w:r w:rsidRPr="00EB2E5E">
        <w:t>Mechanisms for UE reporting of Timing Advance for Half-Duplex UEs</w:t>
      </w:r>
    </w:p>
    <w:p w14:paraId="63DC91D8" w14:textId="63DFD354" w:rsidR="00E03FCE" w:rsidRDefault="00C672BE" w:rsidP="00C672BE">
      <w:r w:rsidRPr="00C672BE">
        <w:t>In NTN, the timing advance (TA) between UL and DL frames will be large</w:t>
      </w:r>
      <w:r w:rsidR="00CE04F7">
        <w:t>, due to the large</w:t>
      </w:r>
      <w:r w:rsidRPr="00C672BE">
        <w:t xml:space="preserve"> round-trip times between UEs and satellite</w:t>
      </w:r>
      <w:r w:rsidR="00CE04F7">
        <w:t xml:space="preserve">. </w:t>
      </w:r>
      <w:r w:rsidRPr="00C672BE">
        <w:t>Further, this TA will vary across UEs</w:t>
      </w:r>
      <w:r w:rsidR="00CE04F7">
        <w:t>—t</w:t>
      </w:r>
      <w:r w:rsidRPr="00C672BE">
        <w:t>he differences may be in terms of multiple slots</w:t>
      </w:r>
      <w:r w:rsidR="00CE04F7">
        <w:t xml:space="preserve">. </w:t>
      </w:r>
      <w:r w:rsidRPr="00C672BE">
        <w:t>For half-duplex UEs, this results in UE-specific interrupted DL subframes</w:t>
      </w:r>
      <w:r w:rsidR="001232EC">
        <w:t xml:space="preserve">. </w:t>
      </w:r>
      <w:r w:rsidR="007331DA">
        <w:t xml:space="preserve">It is important to consider that the </w:t>
      </w:r>
      <w:r w:rsidRPr="00C672BE">
        <w:t xml:space="preserve">UEs may determine </w:t>
      </w:r>
      <w:r w:rsidR="007331DA">
        <w:t xml:space="preserve">(at least a large portion of) </w:t>
      </w:r>
      <w:r w:rsidRPr="00C672BE">
        <w:t>this TA on its own</w:t>
      </w:r>
      <w:r w:rsidR="007331DA">
        <w:t>—e.g.</w:t>
      </w:r>
      <w:r w:rsidR="00B517F2">
        <w:t>, based on geolocation of itself in relation to the satellite</w:t>
      </w:r>
      <w:r w:rsidRPr="00C672BE">
        <w:t>, without the network knowing this a priori</w:t>
      </w:r>
      <w:r w:rsidR="001232EC">
        <w:t xml:space="preserve">. </w:t>
      </w:r>
      <w:r w:rsidR="00B517F2">
        <w:t xml:space="preserve">If the network does not know this TA, </w:t>
      </w:r>
      <w:r w:rsidR="00114D8E">
        <w:t>this may result in invalid scheduling.</w:t>
      </w:r>
    </w:p>
    <w:p w14:paraId="241DF1B7" w14:textId="77777777" w:rsidR="00F1324F" w:rsidRDefault="008D58EC" w:rsidP="00F1324F">
      <w:pPr>
        <w:keepNext/>
        <w:jc w:val="center"/>
      </w:pPr>
      <w:r>
        <w:rPr>
          <w:noProof/>
        </w:rPr>
        <w:drawing>
          <wp:inline distT="0" distB="0" distL="0" distR="0" wp14:anchorId="4AAFB87A" wp14:editId="735E2688">
            <wp:extent cx="4119899" cy="4025485"/>
            <wp:effectExtent l="0" t="0" r="0" b="0"/>
            <wp:docPr id="25" name="Picture 2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Half_Duplex_T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0982" cy="4026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009FF" w14:textId="7CFE898C" w:rsidR="00114D8E" w:rsidRDefault="00F1324F" w:rsidP="00F1324F">
      <w:pPr>
        <w:pStyle w:val="Caption"/>
        <w:jc w:val="center"/>
      </w:pPr>
      <w:r>
        <w:t xml:space="preserve">Figure </w:t>
      </w:r>
      <w:r w:rsidR="0039464A">
        <w:t>1</w:t>
      </w:r>
      <w:r>
        <w:t>: Illustration of UE-specific interrupted subframes in the downlink, depending on the UE's TA, for half-duplex UEs.</w:t>
      </w:r>
    </w:p>
    <w:p w14:paraId="070B8D58" w14:textId="25D52631" w:rsidR="00CD471E" w:rsidRPr="00C80DB7" w:rsidRDefault="00CD471E" w:rsidP="00CD471E">
      <w:pPr>
        <w:rPr>
          <w:b/>
          <w:bCs/>
          <w:color w:val="FF0000"/>
          <w:lang w:val="en-US"/>
        </w:rPr>
      </w:pPr>
      <w:r w:rsidRPr="00C80DB7">
        <w:rPr>
          <w:b/>
          <w:bCs/>
          <w:i/>
          <w:iCs/>
          <w:color w:val="FF0000"/>
          <w:u w:val="single"/>
          <w:lang w:val="en-US"/>
        </w:rPr>
        <w:t>Observation</w:t>
      </w:r>
      <w:r w:rsidR="00264BDF" w:rsidRPr="00C80DB7">
        <w:rPr>
          <w:b/>
          <w:bCs/>
          <w:i/>
          <w:iCs/>
          <w:color w:val="FF0000"/>
          <w:u w:val="single"/>
          <w:lang w:val="en-US"/>
        </w:rPr>
        <w:t xml:space="preserve"> </w:t>
      </w:r>
      <w:r w:rsidR="004052F4" w:rsidRPr="00C80DB7">
        <w:rPr>
          <w:b/>
          <w:bCs/>
          <w:i/>
          <w:iCs/>
          <w:color w:val="FF0000"/>
          <w:u w:val="single"/>
          <w:lang w:val="en-US"/>
        </w:rPr>
        <w:t>1</w:t>
      </w:r>
      <w:r w:rsidRPr="00C80DB7">
        <w:rPr>
          <w:b/>
          <w:bCs/>
          <w:color w:val="FF0000"/>
          <w:lang w:val="en-US"/>
        </w:rPr>
        <w:t xml:space="preserve">: </w:t>
      </w:r>
      <w:r w:rsidR="00F90E18" w:rsidRPr="00C80DB7">
        <w:rPr>
          <w:b/>
          <w:bCs/>
          <w:color w:val="FF0000"/>
          <w:lang w:val="en-US"/>
        </w:rPr>
        <w:t xml:space="preserve">For half-duplex UEs (including NB-IoT and </w:t>
      </w:r>
      <w:r w:rsidR="00B80622" w:rsidRPr="00C80DB7">
        <w:rPr>
          <w:b/>
          <w:bCs/>
          <w:color w:val="FF0000"/>
          <w:lang w:val="en-US"/>
        </w:rPr>
        <w:t xml:space="preserve">HD </w:t>
      </w:r>
      <w:proofErr w:type="spellStart"/>
      <w:r w:rsidR="00B80622" w:rsidRPr="00C80DB7">
        <w:rPr>
          <w:b/>
          <w:bCs/>
          <w:color w:val="FF0000"/>
          <w:lang w:val="en-US"/>
        </w:rPr>
        <w:t>eMTC</w:t>
      </w:r>
      <w:proofErr w:type="spellEnd"/>
      <w:r w:rsidR="00B80622" w:rsidRPr="00C80DB7">
        <w:rPr>
          <w:b/>
          <w:bCs/>
          <w:color w:val="FF0000"/>
          <w:lang w:val="en-US"/>
        </w:rPr>
        <w:t xml:space="preserve"> UEs</w:t>
      </w:r>
      <w:r w:rsidR="00F90E18" w:rsidRPr="00C80DB7">
        <w:rPr>
          <w:b/>
          <w:bCs/>
          <w:color w:val="FF0000"/>
          <w:lang w:val="en-US"/>
        </w:rPr>
        <w:t>)</w:t>
      </w:r>
      <w:r w:rsidR="00B80622" w:rsidRPr="00C80DB7">
        <w:rPr>
          <w:b/>
          <w:bCs/>
          <w:color w:val="FF0000"/>
          <w:lang w:val="en-US"/>
        </w:rPr>
        <w:t>, the interrupted downlink subframes due to an uplink transmission are UE-</w:t>
      </w:r>
      <w:r w:rsidR="00651E33" w:rsidRPr="00C80DB7">
        <w:rPr>
          <w:b/>
          <w:bCs/>
          <w:color w:val="FF0000"/>
          <w:lang w:val="en-US"/>
        </w:rPr>
        <w:t>specific and</w:t>
      </w:r>
      <w:r w:rsidR="00B80622" w:rsidRPr="00C80DB7">
        <w:rPr>
          <w:b/>
          <w:bCs/>
          <w:color w:val="FF0000"/>
          <w:lang w:val="en-US"/>
        </w:rPr>
        <w:t xml:space="preserve"> related to the </w:t>
      </w:r>
      <w:r w:rsidR="00651E33" w:rsidRPr="00C80DB7">
        <w:rPr>
          <w:b/>
          <w:bCs/>
          <w:color w:val="FF0000"/>
          <w:lang w:val="en-US"/>
        </w:rPr>
        <w:t>UE-specific TA.</w:t>
      </w:r>
    </w:p>
    <w:p w14:paraId="3864FE6C" w14:textId="3EAC39E9" w:rsidR="00651E33" w:rsidRDefault="00E9595B" w:rsidP="00CD471E">
      <w:pPr>
        <w:rPr>
          <w:lang w:val="en-US"/>
        </w:rPr>
      </w:pPr>
      <w:r w:rsidRPr="00A553CA">
        <w:rPr>
          <w:lang w:val="en-US"/>
        </w:rPr>
        <w:t>To this end, we propose support for a mechanism by which the UE reports its TA to the network</w:t>
      </w:r>
      <w:r w:rsidR="006E175E" w:rsidRPr="00A553CA">
        <w:rPr>
          <w:lang w:val="en-US"/>
        </w:rPr>
        <w:t xml:space="preserve">, so that the network and UE are in sync for uplink/downlink scheduling purposes. </w:t>
      </w:r>
      <w:r w:rsidR="00440303">
        <w:rPr>
          <w:lang w:val="en-US"/>
        </w:rPr>
        <w:t>Further, this reporting may need to be updated, since the relative position of the satellite w.r.t the UE may change over time.</w:t>
      </w:r>
    </w:p>
    <w:p w14:paraId="70367476" w14:textId="56942042" w:rsidR="00440303" w:rsidRPr="008A0F3C" w:rsidRDefault="00440303" w:rsidP="00CD471E">
      <w:pPr>
        <w:rPr>
          <w:b/>
          <w:bCs/>
          <w:color w:val="FF0000"/>
          <w:lang w:val="en-US"/>
        </w:rPr>
      </w:pPr>
      <w:r w:rsidRPr="008A0F3C">
        <w:rPr>
          <w:b/>
          <w:bCs/>
          <w:i/>
          <w:iCs/>
          <w:color w:val="FF0000"/>
          <w:u w:val="single"/>
          <w:lang w:val="en-US"/>
        </w:rPr>
        <w:t>Proposal</w:t>
      </w:r>
      <w:r w:rsidR="00264BDF" w:rsidRPr="008A0F3C">
        <w:rPr>
          <w:b/>
          <w:bCs/>
          <w:i/>
          <w:iCs/>
          <w:color w:val="FF0000"/>
          <w:u w:val="single"/>
          <w:lang w:val="en-US"/>
        </w:rPr>
        <w:t xml:space="preserve"> </w:t>
      </w:r>
      <w:r w:rsidR="004052F4" w:rsidRPr="008A0F3C">
        <w:rPr>
          <w:b/>
          <w:bCs/>
          <w:i/>
          <w:iCs/>
          <w:color w:val="FF0000"/>
          <w:u w:val="single"/>
          <w:lang w:val="en-US"/>
        </w:rPr>
        <w:t>1</w:t>
      </w:r>
      <w:r w:rsidRPr="008A0F3C">
        <w:rPr>
          <w:b/>
          <w:bCs/>
          <w:color w:val="FF0000"/>
          <w:lang w:val="en-US"/>
        </w:rPr>
        <w:t xml:space="preserve">: RAN1 to </w:t>
      </w:r>
      <w:r w:rsidR="008A0F3C" w:rsidRPr="008A0F3C">
        <w:rPr>
          <w:b/>
          <w:bCs/>
          <w:color w:val="FF0000"/>
          <w:lang w:val="en-US"/>
        </w:rPr>
        <w:t>specify</w:t>
      </w:r>
      <w:r w:rsidRPr="008A0F3C">
        <w:rPr>
          <w:b/>
          <w:bCs/>
          <w:color w:val="FF0000"/>
          <w:lang w:val="en-US"/>
        </w:rPr>
        <w:t xml:space="preserve"> mechanisms for UE reporting of UE-specific TA for half-duplex UEs over NTN</w:t>
      </w:r>
      <w:r w:rsidR="00AD7F52" w:rsidRPr="008A0F3C">
        <w:rPr>
          <w:b/>
          <w:bCs/>
          <w:color w:val="FF0000"/>
          <w:lang w:val="en-US"/>
        </w:rPr>
        <w:t>, including mechanisms for updating the TA when it changes.</w:t>
      </w:r>
    </w:p>
    <w:p w14:paraId="2ED7C824" w14:textId="77777777" w:rsidR="00647D8A" w:rsidRDefault="00647D8A" w:rsidP="00CD471E">
      <w:pPr>
        <w:rPr>
          <w:b/>
          <w:bCs/>
          <w:lang w:val="en-US"/>
        </w:rPr>
      </w:pPr>
    </w:p>
    <w:p w14:paraId="00C43E69" w14:textId="1CD2438C" w:rsidR="00647D8A" w:rsidRPr="00064278" w:rsidRDefault="00647D8A" w:rsidP="00290620">
      <w:pPr>
        <w:pStyle w:val="Heading1"/>
        <w:numPr>
          <w:ilvl w:val="0"/>
          <w:numId w:val="1"/>
        </w:numPr>
        <w:tabs>
          <w:tab w:val="clear" w:pos="1140"/>
        </w:tabs>
        <w:jc w:val="both"/>
        <w:rPr>
          <w:b/>
          <w:bCs/>
          <w:lang w:val="en-US"/>
        </w:rPr>
      </w:pPr>
      <w:r>
        <w:t>Definition of interrupted downlink subframes</w:t>
      </w:r>
    </w:p>
    <w:p w14:paraId="4AD96D2D" w14:textId="39F1586A" w:rsidR="00FF2302" w:rsidRDefault="00B67771" w:rsidP="00FF2302">
      <w:pPr>
        <w:rPr>
          <w:lang w:val="en-US"/>
        </w:rPr>
      </w:pPr>
      <w:r w:rsidRPr="00B67771">
        <w:rPr>
          <w:lang w:val="en-US"/>
        </w:rPr>
        <w:t>As described before, due to large, UE-specific TAs, DL subframes interrupted due to an UL transmission are UE-specific</w:t>
      </w:r>
      <w:r>
        <w:rPr>
          <w:lang w:val="en-US"/>
        </w:rPr>
        <w:t xml:space="preserve">. </w:t>
      </w:r>
      <w:r w:rsidRPr="00B67771">
        <w:rPr>
          <w:lang w:val="en-US"/>
        </w:rPr>
        <w:t>Current specs assume a small TA</w:t>
      </w:r>
      <w:r w:rsidR="003B0F05">
        <w:rPr>
          <w:lang w:val="en-US"/>
        </w:rPr>
        <w:t xml:space="preserve"> (e.g., up to 1 </w:t>
      </w:r>
      <w:proofErr w:type="spellStart"/>
      <w:r w:rsidR="003B0F05">
        <w:rPr>
          <w:lang w:val="en-US"/>
        </w:rPr>
        <w:t>ms</w:t>
      </w:r>
      <w:proofErr w:type="spellEnd"/>
      <w:r w:rsidR="003B0F05">
        <w:rPr>
          <w:lang w:val="en-US"/>
        </w:rPr>
        <w:t>)</w:t>
      </w:r>
      <w:r w:rsidRPr="00B67771">
        <w:rPr>
          <w:lang w:val="en-US"/>
        </w:rPr>
        <w:t>, and do not incorporate a “TA term” in defining these subframes</w:t>
      </w:r>
      <w:r w:rsidR="00FF51D2">
        <w:rPr>
          <w:lang w:val="en-US"/>
        </w:rPr>
        <w:t xml:space="preserve">. </w:t>
      </w:r>
      <w:r w:rsidR="00F321D7">
        <w:rPr>
          <w:lang w:val="en-US"/>
        </w:rPr>
        <w:t>However, as illustrated in Fig</w:t>
      </w:r>
      <w:r w:rsidR="00930937">
        <w:rPr>
          <w:lang w:val="en-US"/>
        </w:rPr>
        <w:t>.</w:t>
      </w:r>
      <w:r w:rsidR="00F321D7">
        <w:rPr>
          <w:lang w:val="en-US"/>
        </w:rPr>
        <w:t xml:space="preserve"> </w:t>
      </w:r>
      <w:r w:rsidR="00C05451">
        <w:rPr>
          <w:lang w:val="en-US"/>
        </w:rPr>
        <w:t>2</w:t>
      </w:r>
      <w:r w:rsidR="00F321D7">
        <w:rPr>
          <w:lang w:val="en-US"/>
        </w:rPr>
        <w:t xml:space="preserve">, for NTN, </w:t>
      </w:r>
      <w:r w:rsidR="00B4627F">
        <w:rPr>
          <w:lang w:val="en-US"/>
        </w:rPr>
        <w:t xml:space="preserve">the interrupted subframes need to be defined using a term that </w:t>
      </w:r>
      <w:r w:rsidR="00B4627F">
        <w:rPr>
          <w:lang w:val="en-US"/>
        </w:rPr>
        <w:lastRenderedPageBreak/>
        <w:t xml:space="preserve">captures the impact of this very large TA. </w:t>
      </w:r>
      <w:r w:rsidR="00FF2302">
        <w:rPr>
          <w:lang w:val="en-US"/>
        </w:rPr>
        <w:t>In the figure, w</w:t>
      </w:r>
      <w:r w:rsidR="00FF2302" w:rsidRPr="00FF2302">
        <w:rPr>
          <w:lang w:val="en-US"/>
        </w:rPr>
        <w:t xml:space="preserve">e want X_DL to Y_DL to be the interrupted DL SFs—i.e., the </w:t>
      </w:r>
      <w:r w:rsidR="00FF2302">
        <w:rPr>
          <w:lang w:val="en-US"/>
        </w:rPr>
        <w:t>subframes</w:t>
      </w:r>
      <w:r w:rsidR="00FF2302" w:rsidRPr="00FF2302">
        <w:rPr>
          <w:lang w:val="en-US"/>
        </w:rPr>
        <w:t xml:space="preserve"> where the UE is not required to monitor another PDCCH, since it must get ready to transmit the PUSCH starting at Y_UL.</w:t>
      </w:r>
      <w:r w:rsidR="00745BCD">
        <w:rPr>
          <w:lang w:val="en-US"/>
        </w:rPr>
        <w:t xml:space="preserve"> </w:t>
      </w:r>
      <w:r w:rsidR="00FF2302" w:rsidRPr="00FF2302">
        <w:rPr>
          <w:lang w:val="en-US"/>
        </w:rPr>
        <w:t>Without the “-TA” term for Y_DL, the interrupted SFs would be from X_DL +TA to Y_DL +TA, while it would (problematically) be expected to monitor PDCCH from X_DL to Y_DL!</w:t>
      </w:r>
    </w:p>
    <w:p w14:paraId="03959D08" w14:textId="77777777" w:rsidR="00E4711B" w:rsidRDefault="00E4711B" w:rsidP="00E4711B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22E563D7" wp14:editId="0152D6D1">
            <wp:extent cx="4507414" cy="2706277"/>
            <wp:effectExtent l="0" t="0" r="7620" b="0"/>
            <wp:docPr id="26" name="Picture 26" descr="A screen shot of a smart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Half_Duplex_interrupted_SF_definition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6618" cy="2711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E95DD" w14:textId="4934A5B6" w:rsidR="00745BCD" w:rsidRDefault="00E4711B" w:rsidP="00E4711B">
      <w:pPr>
        <w:pStyle w:val="Caption"/>
        <w:jc w:val="center"/>
      </w:pPr>
      <w:r>
        <w:t xml:space="preserve">Figure </w:t>
      </w:r>
      <w:r w:rsidR="0039464A">
        <w:t>2</w:t>
      </w:r>
      <w:r>
        <w:t xml:space="preserve">: Definition of DL interrupted subframes in the presence of large NTN-specific </w:t>
      </w:r>
      <w:proofErr w:type="spellStart"/>
      <w:r>
        <w:t>TAs.</w:t>
      </w:r>
      <w:proofErr w:type="spellEnd"/>
    </w:p>
    <w:p w14:paraId="4556162E" w14:textId="4CC74EC4" w:rsidR="00AD7F52" w:rsidRDefault="00B67771" w:rsidP="00B67771">
      <w:pPr>
        <w:rPr>
          <w:lang w:val="en-US"/>
        </w:rPr>
      </w:pPr>
      <w:r w:rsidRPr="00B67771">
        <w:rPr>
          <w:lang w:val="en-US"/>
        </w:rPr>
        <w:t xml:space="preserve">Examples </w:t>
      </w:r>
      <w:r w:rsidR="00FF51D2">
        <w:rPr>
          <w:lang w:val="en-US"/>
        </w:rPr>
        <w:t>(for NB-IoT)</w:t>
      </w:r>
      <w:r w:rsidR="00FF2302">
        <w:rPr>
          <w:lang w:val="en-US"/>
        </w:rPr>
        <w:t xml:space="preserve"> where this needs to be reflected</w:t>
      </w:r>
      <w:r w:rsidR="00FF51D2">
        <w:rPr>
          <w:lang w:val="en-US"/>
        </w:rPr>
        <w:t xml:space="preserve"> </w:t>
      </w:r>
      <w:r w:rsidRPr="00B67771">
        <w:rPr>
          <w:lang w:val="en-US"/>
        </w:rPr>
        <w:t>include DL subframes before and after a NPUSCH or NPRACH transmission, DL subframes corresponding to half-duplex guard periods, etc.</w:t>
      </w:r>
    </w:p>
    <w:p w14:paraId="08B5699C" w14:textId="7EF8164B" w:rsidR="00647D8A" w:rsidRPr="006E254E" w:rsidRDefault="0089235F" w:rsidP="00B67771">
      <w:pPr>
        <w:rPr>
          <w:b/>
          <w:bCs/>
          <w:color w:val="FF0000"/>
          <w:lang w:val="en-US"/>
        </w:rPr>
      </w:pPr>
      <w:r w:rsidRPr="006E254E">
        <w:rPr>
          <w:b/>
          <w:bCs/>
          <w:i/>
          <w:iCs/>
          <w:color w:val="FF0000"/>
          <w:u w:val="single"/>
          <w:lang w:val="en-US"/>
        </w:rPr>
        <w:t>Proposal</w:t>
      </w:r>
      <w:r w:rsidR="00264BDF" w:rsidRPr="006E254E">
        <w:rPr>
          <w:b/>
          <w:bCs/>
          <w:i/>
          <w:iCs/>
          <w:color w:val="FF0000"/>
          <w:u w:val="single"/>
          <w:lang w:val="en-US"/>
        </w:rPr>
        <w:t xml:space="preserve"> </w:t>
      </w:r>
      <w:r w:rsidR="004052F4" w:rsidRPr="006E254E">
        <w:rPr>
          <w:b/>
          <w:bCs/>
          <w:i/>
          <w:iCs/>
          <w:color w:val="FF0000"/>
          <w:u w:val="single"/>
          <w:lang w:val="en-US"/>
        </w:rPr>
        <w:t>2</w:t>
      </w:r>
      <w:r w:rsidRPr="006E254E">
        <w:rPr>
          <w:b/>
          <w:bCs/>
          <w:color w:val="FF0000"/>
          <w:lang w:val="en-US"/>
        </w:rPr>
        <w:t xml:space="preserve">: </w:t>
      </w:r>
      <w:r w:rsidR="00C65431" w:rsidRPr="006E254E">
        <w:rPr>
          <w:b/>
          <w:bCs/>
          <w:color w:val="FF0000"/>
          <w:lang w:val="en-US"/>
        </w:rPr>
        <w:t xml:space="preserve">RAN1 to </w:t>
      </w:r>
      <w:r w:rsidR="006E254E" w:rsidRPr="006E254E">
        <w:rPr>
          <w:b/>
          <w:bCs/>
          <w:color w:val="FF0000"/>
          <w:lang w:val="en-US"/>
        </w:rPr>
        <w:t>re-visit</w:t>
      </w:r>
      <w:r w:rsidR="00C65431" w:rsidRPr="006E254E">
        <w:rPr>
          <w:b/>
          <w:bCs/>
          <w:color w:val="FF0000"/>
          <w:lang w:val="en-US"/>
        </w:rPr>
        <w:t xml:space="preserve"> the definition of downlink interrupted subframes (e.g., those before and after a PUSCH, PRACH</w:t>
      </w:r>
      <w:r w:rsidR="00D24C0A" w:rsidRPr="006E254E">
        <w:rPr>
          <w:b/>
          <w:bCs/>
          <w:color w:val="FF0000"/>
          <w:lang w:val="en-US"/>
        </w:rPr>
        <w:t xml:space="preserve">, </w:t>
      </w:r>
      <w:r w:rsidR="001C3BBA" w:rsidRPr="006E254E">
        <w:rPr>
          <w:b/>
          <w:bCs/>
          <w:color w:val="FF0000"/>
          <w:lang w:val="en-US"/>
        </w:rPr>
        <w:t xml:space="preserve">PUCCH, </w:t>
      </w:r>
      <w:r w:rsidR="00D24C0A" w:rsidRPr="006E254E">
        <w:rPr>
          <w:b/>
          <w:bCs/>
          <w:color w:val="FF0000"/>
          <w:lang w:val="en-US"/>
        </w:rPr>
        <w:t>and half-duplex guard periods</w:t>
      </w:r>
      <w:r w:rsidR="00C65431" w:rsidRPr="006E254E">
        <w:rPr>
          <w:b/>
          <w:bCs/>
          <w:color w:val="FF0000"/>
          <w:lang w:val="en-US"/>
        </w:rPr>
        <w:t>)</w:t>
      </w:r>
      <w:r w:rsidR="00D24C0A" w:rsidRPr="006E254E">
        <w:rPr>
          <w:b/>
          <w:bCs/>
          <w:color w:val="FF0000"/>
          <w:lang w:val="en-US"/>
        </w:rPr>
        <w:t xml:space="preserve"> where a half-duplex UE is not expected to monitor PDCCH, in the light of </w:t>
      </w:r>
      <w:r w:rsidR="008E469A" w:rsidRPr="006E254E">
        <w:rPr>
          <w:b/>
          <w:bCs/>
          <w:color w:val="FF0000"/>
          <w:lang w:val="en-US"/>
        </w:rPr>
        <w:t>large TAs in NTN.</w:t>
      </w:r>
    </w:p>
    <w:p w14:paraId="2432ACA1" w14:textId="77777777" w:rsidR="007067A8" w:rsidRDefault="007067A8" w:rsidP="007067A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51B490BA" w14:textId="2784B23B" w:rsidR="0029478C" w:rsidRPr="0029478C" w:rsidRDefault="00D047DA" w:rsidP="0029478C">
      <w:pPr>
        <w:pStyle w:val="Heading1"/>
        <w:numPr>
          <w:ilvl w:val="0"/>
          <w:numId w:val="1"/>
        </w:numPr>
        <w:tabs>
          <w:tab w:val="clear" w:pos="1140"/>
        </w:tabs>
        <w:jc w:val="both"/>
      </w:pPr>
      <w:r>
        <w:t>Enhanced PDCCH monitoring</w:t>
      </w:r>
    </w:p>
    <w:p w14:paraId="4EFEAB01" w14:textId="09B270FF" w:rsidR="00F03D87" w:rsidRDefault="00BD52C2" w:rsidP="00BD52C2">
      <w:pPr>
        <w:rPr>
          <w:lang w:val="en-US"/>
        </w:rPr>
      </w:pPr>
      <w:r w:rsidRPr="00BD52C2">
        <w:rPr>
          <w:lang w:val="en-US"/>
        </w:rPr>
        <w:t>In an NTN, a UE may have to wait for a considerable period after receiving a DL transmission before it transmits the corresponding UL</w:t>
      </w:r>
      <w:r w:rsidR="00C30A2F">
        <w:rPr>
          <w:lang w:val="en-US"/>
        </w:rPr>
        <w:t xml:space="preserve">. </w:t>
      </w:r>
      <w:r w:rsidRPr="00BD52C2">
        <w:rPr>
          <w:lang w:val="en-US"/>
        </w:rPr>
        <w:t>This is especially true for “near UEs” if the “scheduling offsets” (</w:t>
      </w:r>
      <w:proofErr w:type="spellStart"/>
      <w:r w:rsidRPr="00BD52C2">
        <w:rPr>
          <w:lang w:val="en-US"/>
        </w:rPr>
        <w:t>K_offset</w:t>
      </w:r>
      <w:proofErr w:type="spellEnd"/>
      <w:r w:rsidRPr="00BD52C2">
        <w:rPr>
          <w:lang w:val="en-US"/>
        </w:rPr>
        <w:t>) are cell-specific, and hence, cater to UEs with the worst round-trip time</w:t>
      </w:r>
      <w:r w:rsidR="00C30A2F">
        <w:rPr>
          <w:lang w:val="en-US"/>
        </w:rPr>
        <w:t xml:space="preserve">. </w:t>
      </w:r>
      <w:r w:rsidRPr="00BD52C2">
        <w:rPr>
          <w:lang w:val="en-US"/>
        </w:rPr>
        <w:t xml:space="preserve">According to current specifications, in many such would-be “waiting periods”, the UE is “not required to monitor NPDCCH” (see </w:t>
      </w:r>
      <w:r w:rsidR="00C30A2F">
        <w:rPr>
          <w:lang w:val="en-US"/>
        </w:rPr>
        <w:t xml:space="preserve">Fig. </w:t>
      </w:r>
      <w:r w:rsidR="00C05451">
        <w:rPr>
          <w:lang w:val="en-US"/>
        </w:rPr>
        <w:t>3</w:t>
      </w:r>
      <w:r w:rsidRPr="00BD52C2">
        <w:rPr>
          <w:lang w:val="en-US"/>
        </w:rPr>
        <w:t>)</w:t>
      </w:r>
      <w:r w:rsidR="00C30A2F">
        <w:rPr>
          <w:lang w:val="en-US"/>
        </w:rPr>
        <w:t xml:space="preserve">. </w:t>
      </w:r>
      <w:r w:rsidR="00EC2CE5">
        <w:rPr>
          <w:lang w:val="en-US"/>
        </w:rPr>
        <w:t>An e</w:t>
      </w:r>
      <w:r w:rsidRPr="00BD52C2">
        <w:rPr>
          <w:lang w:val="en-US"/>
        </w:rPr>
        <w:t>xample</w:t>
      </w:r>
      <w:r w:rsidR="00EC2CE5">
        <w:rPr>
          <w:lang w:val="en-US"/>
        </w:rPr>
        <w:t xml:space="preserve"> shown in the figure is the t</w:t>
      </w:r>
      <w:r w:rsidRPr="00BD52C2">
        <w:rPr>
          <w:lang w:val="en-US"/>
        </w:rPr>
        <w:t>ime period between receiving an NPDSCH and transmitting the corresponding HARQ ACK</w:t>
      </w:r>
      <w:r w:rsidR="00EC2CE5">
        <w:rPr>
          <w:lang w:val="en-US"/>
        </w:rPr>
        <w:t>.</w:t>
      </w:r>
    </w:p>
    <w:p w14:paraId="46DA758F" w14:textId="77777777" w:rsidR="0054719B" w:rsidRDefault="0054719B" w:rsidP="0054719B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FB5F921" wp14:editId="757B01DB">
            <wp:extent cx="4072310" cy="2356305"/>
            <wp:effectExtent l="0" t="0" r="4445" b="0"/>
            <wp:docPr id="27" name="Picture 27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THroughput_current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5406" cy="235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C727D" w14:textId="628221C9" w:rsidR="00EC2CE5" w:rsidRDefault="0054719B" w:rsidP="0054719B">
      <w:pPr>
        <w:pStyle w:val="Caption"/>
        <w:jc w:val="center"/>
        <w:rPr>
          <w:noProof/>
        </w:rPr>
      </w:pPr>
      <w:r>
        <w:t xml:space="preserve">Figure </w:t>
      </w:r>
      <w:r w:rsidR="0039464A">
        <w:t>3</w:t>
      </w:r>
      <w:r>
        <w:t>: Illustration of current UE behavior</w:t>
      </w:r>
      <w:r>
        <w:rPr>
          <w:noProof/>
        </w:rPr>
        <w:t xml:space="preserve"> between receiving NPDSCH and transmitting HARQ ACK.</w:t>
      </w:r>
    </w:p>
    <w:p w14:paraId="2B0D9AE9" w14:textId="7B025F0D" w:rsidR="00FD4AD2" w:rsidRDefault="00144F61" w:rsidP="00FD4AD2">
      <w:pPr>
        <w:rPr>
          <w:lang w:val="en-US"/>
        </w:rPr>
      </w:pPr>
      <w:r>
        <w:rPr>
          <w:lang w:val="en-US"/>
        </w:rPr>
        <w:lastRenderedPageBreak/>
        <w:t xml:space="preserve">To mitigate this loss in throughput, </w:t>
      </w:r>
      <w:r w:rsidR="00355044">
        <w:rPr>
          <w:lang w:val="en-US"/>
        </w:rPr>
        <w:t>we can enable PDCCH monitoring for at least a subset of the “waiting period” shown above</w:t>
      </w:r>
      <w:r w:rsidR="00712BC8">
        <w:rPr>
          <w:lang w:val="en-US"/>
        </w:rPr>
        <w:t xml:space="preserve"> (shown in Fig. </w:t>
      </w:r>
      <w:r w:rsidR="00AB0159">
        <w:rPr>
          <w:lang w:val="en-US"/>
        </w:rPr>
        <w:t>4</w:t>
      </w:r>
      <w:r w:rsidR="00712BC8">
        <w:rPr>
          <w:lang w:val="en-US"/>
        </w:rPr>
        <w:t>)</w:t>
      </w:r>
      <w:r w:rsidR="00355044">
        <w:rPr>
          <w:lang w:val="en-US"/>
        </w:rPr>
        <w:t>.</w:t>
      </w:r>
    </w:p>
    <w:p w14:paraId="0834999F" w14:textId="77777777" w:rsidR="00712BC8" w:rsidRDefault="00712BC8" w:rsidP="00712BC8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A0521CB" wp14:editId="3B0062CA">
            <wp:extent cx="4442829" cy="2567391"/>
            <wp:effectExtent l="0" t="0" r="0" b="0"/>
            <wp:docPr id="28" name="Picture 28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THroughput_proposed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564" cy="2575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419E5" w14:textId="0C2FA208" w:rsidR="00712BC8" w:rsidRDefault="00712BC8" w:rsidP="00712BC8">
      <w:pPr>
        <w:pStyle w:val="Caption"/>
        <w:jc w:val="center"/>
      </w:pPr>
      <w:r>
        <w:t>Figure</w:t>
      </w:r>
      <w:r w:rsidR="0039464A">
        <w:t xml:space="preserve"> 4</w:t>
      </w:r>
      <w:r>
        <w:t xml:space="preserve">: </w:t>
      </w:r>
      <w:r w:rsidRPr="004234AE">
        <w:t xml:space="preserve">Illustration of </w:t>
      </w:r>
      <w:r>
        <w:t>proposed</w:t>
      </w:r>
      <w:r w:rsidRPr="004234AE">
        <w:t xml:space="preserve"> UE behavior between receiving NPDSCH and transmitting HARQ ACK</w:t>
      </w:r>
      <w:r>
        <w:t>, to increase overall throughput</w:t>
      </w:r>
      <w:r w:rsidRPr="004234AE">
        <w:t>.</w:t>
      </w:r>
    </w:p>
    <w:p w14:paraId="6450CAB9" w14:textId="00FD87B9" w:rsidR="00712BC8" w:rsidRPr="006E254E" w:rsidRDefault="001536B5" w:rsidP="00712BC8">
      <w:pPr>
        <w:rPr>
          <w:b/>
          <w:bCs/>
          <w:color w:val="ED7D31" w:themeColor="accent2"/>
          <w:lang w:val="en-US"/>
        </w:rPr>
      </w:pPr>
      <w:r w:rsidRPr="006E254E">
        <w:rPr>
          <w:b/>
          <w:bCs/>
          <w:i/>
          <w:iCs/>
          <w:color w:val="ED7D31" w:themeColor="accent2"/>
          <w:u w:val="single"/>
          <w:lang w:val="en-US"/>
        </w:rPr>
        <w:t>Proposal</w:t>
      </w:r>
      <w:r w:rsidR="00264BDF" w:rsidRPr="006E254E">
        <w:rPr>
          <w:b/>
          <w:bCs/>
          <w:i/>
          <w:iCs/>
          <w:color w:val="ED7D31" w:themeColor="accent2"/>
          <w:u w:val="single"/>
          <w:lang w:val="en-US"/>
        </w:rPr>
        <w:t xml:space="preserve"> </w:t>
      </w:r>
      <w:r w:rsidR="004052F4" w:rsidRPr="006E254E">
        <w:rPr>
          <w:b/>
          <w:bCs/>
          <w:i/>
          <w:iCs/>
          <w:color w:val="ED7D31" w:themeColor="accent2"/>
          <w:u w:val="single"/>
          <w:lang w:val="en-US"/>
        </w:rPr>
        <w:t>3</w:t>
      </w:r>
      <w:r w:rsidRPr="006E254E">
        <w:rPr>
          <w:b/>
          <w:bCs/>
          <w:color w:val="ED7D31" w:themeColor="accent2"/>
          <w:lang w:val="en-US"/>
        </w:rPr>
        <w:t xml:space="preserve">: RAN1 to </w:t>
      </w:r>
      <w:r w:rsidR="006E254E" w:rsidRPr="006E254E">
        <w:rPr>
          <w:b/>
          <w:bCs/>
          <w:color w:val="ED7D31" w:themeColor="accent2"/>
          <w:lang w:val="en-US"/>
        </w:rPr>
        <w:t>consider</w:t>
      </w:r>
      <w:r w:rsidRPr="006E254E">
        <w:rPr>
          <w:b/>
          <w:bCs/>
          <w:color w:val="ED7D31" w:themeColor="accent2"/>
          <w:lang w:val="en-US"/>
        </w:rPr>
        <w:t xml:space="preserve"> enabling PDCCH monitoring in “waiting periods”—for example, </w:t>
      </w:r>
      <w:r w:rsidR="00F92013" w:rsidRPr="006E254E">
        <w:rPr>
          <w:b/>
          <w:bCs/>
          <w:color w:val="ED7D31" w:themeColor="accent2"/>
          <w:lang w:val="en-US"/>
        </w:rPr>
        <w:t>between receiving NPDSCH and transmitting HARQ ACK in NB-IoT—to mitigate suboptimal throughput.</w:t>
      </w:r>
    </w:p>
    <w:p w14:paraId="72FCCC8A" w14:textId="1D08AA9D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</w:t>
      </w:r>
    </w:p>
    <w:p w14:paraId="2BBDA5A1" w14:textId="74FAA464" w:rsidR="009D5294" w:rsidRDefault="000236C6" w:rsidP="006C1D96">
      <w:r w:rsidRPr="000236C6">
        <w:t xml:space="preserve">In this contribution we presented our initial views on </w:t>
      </w:r>
      <w:r w:rsidR="00FD4AD2">
        <w:t>enhancements for</w:t>
      </w:r>
      <w:r w:rsidR="001B1620">
        <w:t xml:space="preserve"> NB-IoT/</w:t>
      </w:r>
      <w:proofErr w:type="spellStart"/>
      <w:r w:rsidR="001B1620">
        <w:t>eMTC</w:t>
      </w:r>
      <w:proofErr w:type="spellEnd"/>
      <w:r w:rsidR="001B1620">
        <w:t xml:space="preserve"> over NTN</w:t>
      </w:r>
      <w:r w:rsidR="000E792E" w:rsidRPr="000E792E">
        <w:t xml:space="preserve"> </w:t>
      </w:r>
      <w:r w:rsidR="000E792E">
        <w:t>as it relates to timing relationship enhancements</w:t>
      </w:r>
      <w:r w:rsidRPr="000236C6">
        <w:t xml:space="preserve">. </w:t>
      </w:r>
      <w:r w:rsidR="00BC3A60">
        <w:t>We summarize our proposals below.</w:t>
      </w:r>
    </w:p>
    <w:p w14:paraId="53022264" w14:textId="77777777" w:rsidR="00085FF9" w:rsidRPr="00C80DB7" w:rsidRDefault="00085FF9" w:rsidP="00085FF9">
      <w:pPr>
        <w:rPr>
          <w:b/>
          <w:bCs/>
          <w:color w:val="FF0000"/>
          <w:lang w:val="en-US"/>
        </w:rPr>
      </w:pPr>
      <w:r w:rsidRPr="00C80DB7">
        <w:rPr>
          <w:b/>
          <w:bCs/>
          <w:i/>
          <w:iCs/>
          <w:color w:val="FF0000"/>
          <w:u w:val="single"/>
          <w:lang w:val="en-US"/>
        </w:rPr>
        <w:t>Observation 1</w:t>
      </w:r>
      <w:r w:rsidRPr="00C80DB7">
        <w:rPr>
          <w:b/>
          <w:bCs/>
          <w:color w:val="FF0000"/>
          <w:lang w:val="en-US"/>
        </w:rPr>
        <w:t xml:space="preserve">: For half-duplex UEs (including NB-IoT and HD </w:t>
      </w:r>
      <w:proofErr w:type="spellStart"/>
      <w:r w:rsidRPr="00C80DB7">
        <w:rPr>
          <w:b/>
          <w:bCs/>
          <w:color w:val="FF0000"/>
          <w:lang w:val="en-US"/>
        </w:rPr>
        <w:t>eMTC</w:t>
      </w:r>
      <w:proofErr w:type="spellEnd"/>
      <w:r w:rsidRPr="00C80DB7">
        <w:rPr>
          <w:b/>
          <w:bCs/>
          <w:color w:val="FF0000"/>
          <w:lang w:val="en-US"/>
        </w:rPr>
        <w:t xml:space="preserve"> UEs), the interrupted downlink subframes due to an uplink transmission are UE-specific and related to the UE-specific TA.</w:t>
      </w:r>
    </w:p>
    <w:p w14:paraId="13EE3BA2" w14:textId="77777777" w:rsidR="00085FF9" w:rsidRPr="008A0F3C" w:rsidRDefault="00085FF9" w:rsidP="00085FF9">
      <w:pPr>
        <w:rPr>
          <w:b/>
          <w:bCs/>
          <w:color w:val="FF0000"/>
          <w:lang w:val="en-US"/>
        </w:rPr>
      </w:pPr>
      <w:r w:rsidRPr="008A0F3C">
        <w:rPr>
          <w:b/>
          <w:bCs/>
          <w:i/>
          <w:iCs/>
          <w:color w:val="FF0000"/>
          <w:u w:val="single"/>
          <w:lang w:val="en-US"/>
        </w:rPr>
        <w:t>Proposal 1</w:t>
      </w:r>
      <w:r w:rsidRPr="008A0F3C">
        <w:rPr>
          <w:b/>
          <w:bCs/>
          <w:color w:val="FF0000"/>
          <w:lang w:val="en-US"/>
        </w:rPr>
        <w:t>: RAN1 to specify mechanisms for UE reporting of UE-specific TA for half-duplex UEs over NTN, including mechanisms for updating the TA when it changes.</w:t>
      </w:r>
    </w:p>
    <w:p w14:paraId="35727F82" w14:textId="77777777" w:rsidR="00085FF9" w:rsidRPr="006E254E" w:rsidRDefault="00085FF9" w:rsidP="00085FF9">
      <w:pPr>
        <w:rPr>
          <w:b/>
          <w:bCs/>
          <w:color w:val="FF0000"/>
          <w:lang w:val="en-US"/>
        </w:rPr>
      </w:pPr>
      <w:r w:rsidRPr="006E254E">
        <w:rPr>
          <w:b/>
          <w:bCs/>
          <w:i/>
          <w:iCs/>
          <w:color w:val="FF0000"/>
          <w:u w:val="single"/>
          <w:lang w:val="en-US"/>
        </w:rPr>
        <w:t>Proposal 2</w:t>
      </w:r>
      <w:r w:rsidRPr="006E254E">
        <w:rPr>
          <w:b/>
          <w:bCs/>
          <w:color w:val="FF0000"/>
          <w:lang w:val="en-US"/>
        </w:rPr>
        <w:t>: RAN1 to re-visit the definition of downlink interrupted subframes (e.g., those before and after a PUSCH, PRACH, PUCCH, and half-duplex guard periods) where a half-duplex UE is not expected to monitor PDCCH, in the light of large TAs in NTN.</w:t>
      </w:r>
    </w:p>
    <w:p w14:paraId="049266E9" w14:textId="77777777" w:rsidR="00085FF9" w:rsidRPr="006E254E" w:rsidRDefault="00085FF9" w:rsidP="00085FF9">
      <w:pPr>
        <w:rPr>
          <w:b/>
          <w:bCs/>
          <w:color w:val="ED7D31" w:themeColor="accent2"/>
          <w:lang w:val="en-US"/>
        </w:rPr>
      </w:pPr>
      <w:r w:rsidRPr="006E254E">
        <w:rPr>
          <w:b/>
          <w:bCs/>
          <w:i/>
          <w:iCs/>
          <w:color w:val="ED7D31" w:themeColor="accent2"/>
          <w:u w:val="single"/>
          <w:lang w:val="en-US"/>
        </w:rPr>
        <w:t>Proposal 3</w:t>
      </w:r>
      <w:r w:rsidRPr="006E254E">
        <w:rPr>
          <w:b/>
          <w:bCs/>
          <w:color w:val="ED7D31" w:themeColor="accent2"/>
          <w:lang w:val="en-US"/>
        </w:rPr>
        <w:t>: RAN1 to consider enabling PDCCH monitoring in “waiting periods”—for example, between receiving NPDSCH and transmitting HARQ ACK in NB-IoT—to mitigate suboptimal throughput.</w:t>
      </w:r>
    </w:p>
    <w:p w14:paraId="109C1472" w14:textId="77777777" w:rsidR="00874392" w:rsidRPr="00F752F5" w:rsidRDefault="00874392" w:rsidP="00874392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40CB324D" w14:textId="557B1962" w:rsidR="006C1D96" w:rsidRPr="004504C9" w:rsidRDefault="00874392" w:rsidP="001B159B">
      <w:pPr>
        <w:rPr>
          <w:lang w:val="en-US"/>
        </w:rPr>
      </w:pPr>
      <w:r w:rsidRPr="00F752F5">
        <w:rPr>
          <w:lang w:val="en-US"/>
        </w:rPr>
        <w:t>[1]</w:t>
      </w:r>
      <w:r w:rsidR="00933FE6" w:rsidRPr="00933FE6">
        <w:t xml:space="preserve"> </w:t>
      </w:r>
      <w:r w:rsidR="00933FE6" w:rsidRPr="00933FE6">
        <w:rPr>
          <w:lang w:val="en-US"/>
        </w:rPr>
        <w:t>RP-193235</w:t>
      </w:r>
      <w:r w:rsidR="00933FE6">
        <w:rPr>
          <w:lang w:val="en-US"/>
        </w:rPr>
        <w:t>,</w:t>
      </w:r>
      <w:r w:rsidRPr="00F752F5">
        <w:rPr>
          <w:lang w:val="en-US"/>
        </w:rPr>
        <w:t xml:space="preserve"> </w:t>
      </w:r>
      <w:r w:rsidR="009D25C6" w:rsidRPr="000C1B5A">
        <w:t>Study on NB-Io</w:t>
      </w:r>
      <w:r w:rsidR="009D25C6">
        <w:t>T</w:t>
      </w:r>
      <w:r w:rsidR="009D25C6" w:rsidRPr="000C1B5A">
        <w:t>/</w:t>
      </w:r>
      <w:proofErr w:type="spellStart"/>
      <w:r w:rsidR="009D25C6" w:rsidRPr="000C1B5A">
        <w:t>eMTC</w:t>
      </w:r>
      <w:proofErr w:type="spellEnd"/>
      <w:r w:rsidR="009D25C6" w:rsidRPr="000C1B5A">
        <w:t xml:space="preserve"> support for Non-Terrestrial Network</w:t>
      </w:r>
    </w:p>
    <w:sectPr w:rsidR="006C1D96" w:rsidRPr="004504C9" w:rsidSect="00717CC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99FF1" w14:textId="77777777" w:rsidR="00A544C8" w:rsidRDefault="00A544C8">
      <w:pPr>
        <w:spacing w:after="0"/>
      </w:pPr>
      <w:r>
        <w:separator/>
      </w:r>
    </w:p>
  </w:endnote>
  <w:endnote w:type="continuationSeparator" w:id="0">
    <w:p w14:paraId="1FF72F35" w14:textId="77777777" w:rsidR="00A544C8" w:rsidRDefault="00A544C8">
      <w:pPr>
        <w:spacing w:after="0"/>
      </w:pPr>
      <w:r>
        <w:continuationSeparator/>
      </w:r>
    </w:p>
  </w:endnote>
  <w:endnote w:type="continuationNotice" w:id="1">
    <w:p w14:paraId="2AE9A58C" w14:textId="77777777" w:rsidR="00A544C8" w:rsidRDefault="00A544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717CCC" w:rsidRDefault="00717CCC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717CCC" w:rsidRDefault="00717CCC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717CCC" w:rsidRDefault="00717CCC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717CCC" w:rsidRDefault="00717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55B5D" w14:textId="77777777" w:rsidR="00A544C8" w:rsidRDefault="00A544C8">
      <w:pPr>
        <w:spacing w:after="0"/>
      </w:pPr>
      <w:r>
        <w:separator/>
      </w:r>
    </w:p>
  </w:footnote>
  <w:footnote w:type="continuationSeparator" w:id="0">
    <w:p w14:paraId="0ED80053" w14:textId="77777777" w:rsidR="00A544C8" w:rsidRDefault="00A544C8">
      <w:pPr>
        <w:spacing w:after="0"/>
      </w:pPr>
      <w:r>
        <w:continuationSeparator/>
      </w:r>
    </w:p>
  </w:footnote>
  <w:footnote w:type="continuationNotice" w:id="1">
    <w:p w14:paraId="5149A40B" w14:textId="77777777" w:rsidR="00A544C8" w:rsidRDefault="00A544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717CCC" w:rsidRDefault="0071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717CCC" w:rsidRDefault="00717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717CCC" w:rsidRDefault="00717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86281D2C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552D"/>
    <w:multiLevelType w:val="hybridMultilevel"/>
    <w:tmpl w:val="4362991E"/>
    <w:lvl w:ilvl="0" w:tplc="9B7699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505A8C"/>
    <w:multiLevelType w:val="hybridMultilevel"/>
    <w:tmpl w:val="05CE023E"/>
    <w:lvl w:ilvl="0" w:tplc="F8AEC0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40B09"/>
    <w:multiLevelType w:val="hybridMultilevel"/>
    <w:tmpl w:val="A3882214"/>
    <w:lvl w:ilvl="0" w:tplc="D4A0B4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5" w15:restartNumberingAfterBreak="0">
    <w:nsid w:val="792425B8"/>
    <w:multiLevelType w:val="hybridMultilevel"/>
    <w:tmpl w:val="53FAF7FC"/>
    <w:lvl w:ilvl="0" w:tplc="00EEEB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7" w15:restartNumberingAfterBreak="0">
    <w:nsid w:val="7EA71F53"/>
    <w:multiLevelType w:val="hybridMultilevel"/>
    <w:tmpl w:val="01EC27B2"/>
    <w:lvl w:ilvl="0" w:tplc="ED0C7B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21"/>
  </w:num>
  <w:num w:numId="5">
    <w:abstractNumId w:val="13"/>
  </w:num>
  <w:num w:numId="6">
    <w:abstractNumId w:val="23"/>
  </w:num>
  <w:num w:numId="7">
    <w:abstractNumId w:val="24"/>
  </w:num>
  <w:num w:numId="8">
    <w:abstractNumId w:val="9"/>
  </w:num>
  <w:num w:numId="9">
    <w:abstractNumId w:val="26"/>
  </w:num>
  <w:num w:numId="10">
    <w:abstractNumId w:val="15"/>
  </w:num>
  <w:num w:numId="11">
    <w:abstractNumId w:val="6"/>
  </w:num>
  <w:num w:numId="12">
    <w:abstractNumId w:val="1"/>
  </w:num>
  <w:num w:numId="13">
    <w:abstractNumId w:val="28"/>
  </w:num>
  <w:num w:numId="14">
    <w:abstractNumId w:val="12"/>
  </w:num>
  <w:num w:numId="15">
    <w:abstractNumId w:val="7"/>
  </w:num>
  <w:num w:numId="16">
    <w:abstractNumId w:val="2"/>
  </w:num>
  <w:num w:numId="17">
    <w:abstractNumId w:val="10"/>
  </w:num>
  <w:num w:numId="18">
    <w:abstractNumId w:val="22"/>
  </w:num>
  <w:num w:numId="19">
    <w:abstractNumId w:val="16"/>
  </w:num>
  <w:num w:numId="20">
    <w:abstractNumId w:val="11"/>
  </w:num>
  <w:num w:numId="21">
    <w:abstractNumId w:val="14"/>
  </w:num>
  <w:num w:numId="22">
    <w:abstractNumId w:val="5"/>
  </w:num>
  <w:num w:numId="23">
    <w:abstractNumId w:val="25"/>
  </w:num>
  <w:num w:numId="24">
    <w:abstractNumId w:val="8"/>
  </w:num>
  <w:num w:numId="25">
    <w:abstractNumId w:val="27"/>
  </w:num>
  <w:num w:numId="26">
    <w:abstractNumId w:val="19"/>
  </w:num>
  <w:num w:numId="27">
    <w:abstractNumId w:val="4"/>
  </w:num>
  <w:num w:numId="28">
    <w:abstractNumId w:val="18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20"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5C95"/>
    <w:rsid w:val="0000789C"/>
    <w:rsid w:val="0002016E"/>
    <w:rsid w:val="00022216"/>
    <w:rsid w:val="000236C6"/>
    <w:rsid w:val="000369C3"/>
    <w:rsid w:val="00037582"/>
    <w:rsid w:val="00037919"/>
    <w:rsid w:val="0004041F"/>
    <w:rsid w:val="00042869"/>
    <w:rsid w:val="00042BED"/>
    <w:rsid w:val="00045BDF"/>
    <w:rsid w:val="00046020"/>
    <w:rsid w:val="000500F7"/>
    <w:rsid w:val="00054E5C"/>
    <w:rsid w:val="00063DAE"/>
    <w:rsid w:val="00064278"/>
    <w:rsid w:val="000707F2"/>
    <w:rsid w:val="00081CDD"/>
    <w:rsid w:val="00085FF9"/>
    <w:rsid w:val="00091116"/>
    <w:rsid w:val="00097E6B"/>
    <w:rsid w:val="000B1990"/>
    <w:rsid w:val="000C6FD1"/>
    <w:rsid w:val="000D4151"/>
    <w:rsid w:val="000E1342"/>
    <w:rsid w:val="000E330D"/>
    <w:rsid w:val="000E7606"/>
    <w:rsid w:val="000E792E"/>
    <w:rsid w:val="000F70C7"/>
    <w:rsid w:val="0010253A"/>
    <w:rsid w:val="001030EF"/>
    <w:rsid w:val="00114D8E"/>
    <w:rsid w:val="00122D19"/>
    <w:rsid w:val="001232EC"/>
    <w:rsid w:val="00124E5D"/>
    <w:rsid w:val="00125DAC"/>
    <w:rsid w:val="0013602A"/>
    <w:rsid w:val="001369AD"/>
    <w:rsid w:val="00144F61"/>
    <w:rsid w:val="00146E52"/>
    <w:rsid w:val="001536B5"/>
    <w:rsid w:val="00154C05"/>
    <w:rsid w:val="0015697F"/>
    <w:rsid w:val="0015790E"/>
    <w:rsid w:val="00166645"/>
    <w:rsid w:val="00172DAC"/>
    <w:rsid w:val="001839D7"/>
    <w:rsid w:val="00190E24"/>
    <w:rsid w:val="001A1E09"/>
    <w:rsid w:val="001A452F"/>
    <w:rsid w:val="001B159B"/>
    <w:rsid w:val="001B1620"/>
    <w:rsid w:val="001B1B3A"/>
    <w:rsid w:val="001B1EC7"/>
    <w:rsid w:val="001B2E20"/>
    <w:rsid w:val="001B36F8"/>
    <w:rsid w:val="001C099B"/>
    <w:rsid w:val="001C3BBA"/>
    <w:rsid w:val="001C6F21"/>
    <w:rsid w:val="001D0240"/>
    <w:rsid w:val="001E008E"/>
    <w:rsid w:val="001E0B5B"/>
    <w:rsid w:val="001E1134"/>
    <w:rsid w:val="001F70E2"/>
    <w:rsid w:val="00207541"/>
    <w:rsid w:val="00207596"/>
    <w:rsid w:val="002162F8"/>
    <w:rsid w:val="00230057"/>
    <w:rsid w:val="002424FF"/>
    <w:rsid w:val="00244F6A"/>
    <w:rsid w:val="00245257"/>
    <w:rsid w:val="002500D0"/>
    <w:rsid w:val="0025012E"/>
    <w:rsid w:val="00255F0A"/>
    <w:rsid w:val="00256BFC"/>
    <w:rsid w:val="00260902"/>
    <w:rsid w:val="00262FFA"/>
    <w:rsid w:val="00264BDF"/>
    <w:rsid w:val="002742EE"/>
    <w:rsid w:val="002804CE"/>
    <w:rsid w:val="00287B8D"/>
    <w:rsid w:val="00291786"/>
    <w:rsid w:val="0029388D"/>
    <w:rsid w:val="0029478C"/>
    <w:rsid w:val="002A30DB"/>
    <w:rsid w:val="002B2E77"/>
    <w:rsid w:val="002B3546"/>
    <w:rsid w:val="002B57F0"/>
    <w:rsid w:val="002C343D"/>
    <w:rsid w:val="002C481C"/>
    <w:rsid w:val="002D0EEA"/>
    <w:rsid w:val="002D20C0"/>
    <w:rsid w:val="002D43BB"/>
    <w:rsid w:val="002D79FA"/>
    <w:rsid w:val="002E0ABA"/>
    <w:rsid w:val="003009A5"/>
    <w:rsid w:val="00314B41"/>
    <w:rsid w:val="00315EF0"/>
    <w:rsid w:val="003214D1"/>
    <w:rsid w:val="003216E0"/>
    <w:rsid w:val="00321A89"/>
    <w:rsid w:val="003362EB"/>
    <w:rsid w:val="0033638B"/>
    <w:rsid w:val="00340D26"/>
    <w:rsid w:val="00343629"/>
    <w:rsid w:val="0035424A"/>
    <w:rsid w:val="00355044"/>
    <w:rsid w:val="00355ABE"/>
    <w:rsid w:val="00362F3B"/>
    <w:rsid w:val="00363577"/>
    <w:rsid w:val="00382105"/>
    <w:rsid w:val="0038329C"/>
    <w:rsid w:val="00386F50"/>
    <w:rsid w:val="00387099"/>
    <w:rsid w:val="003907A8"/>
    <w:rsid w:val="0039464A"/>
    <w:rsid w:val="003A012C"/>
    <w:rsid w:val="003B0F05"/>
    <w:rsid w:val="003B2922"/>
    <w:rsid w:val="003C0419"/>
    <w:rsid w:val="003C0B13"/>
    <w:rsid w:val="003C5BD8"/>
    <w:rsid w:val="003C7506"/>
    <w:rsid w:val="003E4EB7"/>
    <w:rsid w:val="003F1061"/>
    <w:rsid w:val="003F14E0"/>
    <w:rsid w:val="003F60AF"/>
    <w:rsid w:val="00400A2E"/>
    <w:rsid w:val="0040494C"/>
    <w:rsid w:val="004052F4"/>
    <w:rsid w:val="004054D3"/>
    <w:rsid w:val="00410A8D"/>
    <w:rsid w:val="0041454F"/>
    <w:rsid w:val="004147F2"/>
    <w:rsid w:val="0041506D"/>
    <w:rsid w:val="00421B57"/>
    <w:rsid w:val="00423CEA"/>
    <w:rsid w:val="00426EA5"/>
    <w:rsid w:val="00427E2F"/>
    <w:rsid w:val="00431380"/>
    <w:rsid w:val="00436176"/>
    <w:rsid w:val="00440303"/>
    <w:rsid w:val="004456A9"/>
    <w:rsid w:val="00446569"/>
    <w:rsid w:val="004504C9"/>
    <w:rsid w:val="004523F4"/>
    <w:rsid w:val="00456A24"/>
    <w:rsid w:val="00461019"/>
    <w:rsid w:val="0046275D"/>
    <w:rsid w:val="00464CA3"/>
    <w:rsid w:val="0046551E"/>
    <w:rsid w:val="00476823"/>
    <w:rsid w:val="00476C2A"/>
    <w:rsid w:val="00480C10"/>
    <w:rsid w:val="00483468"/>
    <w:rsid w:val="00483DE7"/>
    <w:rsid w:val="0049213F"/>
    <w:rsid w:val="0049613A"/>
    <w:rsid w:val="004A2F97"/>
    <w:rsid w:val="004A772F"/>
    <w:rsid w:val="004B49AA"/>
    <w:rsid w:val="004C0ECA"/>
    <w:rsid w:val="004C5F77"/>
    <w:rsid w:val="004D3F76"/>
    <w:rsid w:val="004D634E"/>
    <w:rsid w:val="004E26B2"/>
    <w:rsid w:val="004E7551"/>
    <w:rsid w:val="004F25FD"/>
    <w:rsid w:val="004F53B6"/>
    <w:rsid w:val="004F622E"/>
    <w:rsid w:val="00500B75"/>
    <w:rsid w:val="00505979"/>
    <w:rsid w:val="0051062E"/>
    <w:rsid w:val="0051448E"/>
    <w:rsid w:val="00517F9D"/>
    <w:rsid w:val="00520E7B"/>
    <w:rsid w:val="00520F4B"/>
    <w:rsid w:val="00524FF3"/>
    <w:rsid w:val="00527F03"/>
    <w:rsid w:val="00527F8A"/>
    <w:rsid w:val="005328B5"/>
    <w:rsid w:val="00537332"/>
    <w:rsid w:val="005446A1"/>
    <w:rsid w:val="0054719B"/>
    <w:rsid w:val="0055738F"/>
    <w:rsid w:val="00557D4B"/>
    <w:rsid w:val="00560F08"/>
    <w:rsid w:val="0056568B"/>
    <w:rsid w:val="0057366E"/>
    <w:rsid w:val="005778BD"/>
    <w:rsid w:val="00582CAB"/>
    <w:rsid w:val="00586156"/>
    <w:rsid w:val="0059466F"/>
    <w:rsid w:val="00595973"/>
    <w:rsid w:val="00597070"/>
    <w:rsid w:val="005A312F"/>
    <w:rsid w:val="005A6DE2"/>
    <w:rsid w:val="005A74CD"/>
    <w:rsid w:val="005B0A3D"/>
    <w:rsid w:val="005B738C"/>
    <w:rsid w:val="005D201C"/>
    <w:rsid w:val="005D6B6E"/>
    <w:rsid w:val="005E55F7"/>
    <w:rsid w:val="005F1605"/>
    <w:rsid w:val="005F3A25"/>
    <w:rsid w:val="00600B37"/>
    <w:rsid w:val="00601F79"/>
    <w:rsid w:val="00610DC9"/>
    <w:rsid w:val="00612769"/>
    <w:rsid w:val="00620296"/>
    <w:rsid w:val="00623263"/>
    <w:rsid w:val="00632162"/>
    <w:rsid w:val="00640363"/>
    <w:rsid w:val="0064384F"/>
    <w:rsid w:val="006438A3"/>
    <w:rsid w:val="00647D8A"/>
    <w:rsid w:val="00651E33"/>
    <w:rsid w:val="006530FE"/>
    <w:rsid w:val="00662A01"/>
    <w:rsid w:val="00667A31"/>
    <w:rsid w:val="00674A20"/>
    <w:rsid w:val="006805FD"/>
    <w:rsid w:val="006807E3"/>
    <w:rsid w:val="006915FF"/>
    <w:rsid w:val="00694ED0"/>
    <w:rsid w:val="006A712D"/>
    <w:rsid w:val="006B2436"/>
    <w:rsid w:val="006B3A59"/>
    <w:rsid w:val="006B79E3"/>
    <w:rsid w:val="006C1D96"/>
    <w:rsid w:val="006C5ED9"/>
    <w:rsid w:val="006E175E"/>
    <w:rsid w:val="006E254E"/>
    <w:rsid w:val="00702EB8"/>
    <w:rsid w:val="007067A8"/>
    <w:rsid w:val="00710096"/>
    <w:rsid w:val="00712BC8"/>
    <w:rsid w:val="007130B5"/>
    <w:rsid w:val="007165F3"/>
    <w:rsid w:val="00717CCC"/>
    <w:rsid w:val="00722924"/>
    <w:rsid w:val="007331DA"/>
    <w:rsid w:val="007366C0"/>
    <w:rsid w:val="00737E91"/>
    <w:rsid w:val="00743D60"/>
    <w:rsid w:val="00745B50"/>
    <w:rsid w:val="00745BCD"/>
    <w:rsid w:val="00750465"/>
    <w:rsid w:val="0075364E"/>
    <w:rsid w:val="0075604E"/>
    <w:rsid w:val="007575DD"/>
    <w:rsid w:val="00764301"/>
    <w:rsid w:val="00784DC8"/>
    <w:rsid w:val="0079416A"/>
    <w:rsid w:val="00794448"/>
    <w:rsid w:val="0079447F"/>
    <w:rsid w:val="0079595B"/>
    <w:rsid w:val="007B62B2"/>
    <w:rsid w:val="007C0C7E"/>
    <w:rsid w:val="007C1101"/>
    <w:rsid w:val="007C370A"/>
    <w:rsid w:val="007C3908"/>
    <w:rsid w:val="007C475C"/>
    <w:rsid w:val="007D38E7"/>
    <w:rsid w:val="007D4525"/>
    <w:rsid w:val="007D461B"/>
    <w:rsid w:val="007E6B5F"/>
    <w:rsid w:val="007E7769"/>
    <w:rsid w:val="007F6421"/>
    <w:rsid w:val="007F72E4"/>
    <w:rsid w:val="0080168D"/>
    <w:rsid w:val="008019C7"/>
    <w:rsid w:val="00801FF0"/>
    <w:rsid w:val="00810180"/>
    <w:rsid w:val="00814286"/>
    <w:rsid w:val="00820856"/>
    <w:rsid w:val="008208F6"/>
    <w:rsid w:val="00820A4A"/>
    <w:rsid w:val="008221BA"/>
    <w:rsid w:val="008260B0"/>
    <w:rsid w:val="0083283A"/>
    <w:rsid w:val="00835C35"/>
    <w:rsid w:val="0086481F"/>
    <w:rsid w:val="00866ACC"/>
    <w:rsid w:val="00866F78"/>
    <w:rsid w:val="00867677"/>
    <w:rsid w:val="00874392"/>
    <w:rsid w:val="008744D8"/>
    <w:rsid w:val="0088116B"/>
    <w:rsid w:val="0089184B"/>
    <w:rsid w:val="0089235F"/>
    <w:rsid w:val="00893F41"/>
    <w:rsid w:val="008A0F3C"/>
    <w:rsid w:val="008A385C"/>
    <w:rsid w:val="008A43E0"/>
    <w:rsid w:val="008B3FAF"/>
    <w:rsid w:val="008B6A31"/>
    <w:rsid w:val="008B7F3F"/>
    <w:rsid w:val="008C075D"/>
    <w:rsid w:val="008C6866"/>
    <w:rsid w:val="008C6B2A"/>
    <w:rsid w:val="008D022D"/>
    <w:rsid w:val="008D58EC"/>
    <w:rsid w:val="008D60F7"/>
    <w:rsid w:val="008E469A"/>
    <w:rsid w:val="008F345D"/>
    <w:rsid w:val="008F3E1A"/>
    <w:rsid w:val="00900B1E"/>
    <w:rsid w:val="00901E73"/>
    <w:rsid w:val="00904028"/>
    <w:rsid w:val="00905BDA"/>
    <w:rsid w:val="00905CEA"/>
    <w:rsid w:val="00910683"/>
    <w:rsid w:val="00911E51"/>
    <w:rsid w:val="009227A4"/>
    <w:rsid w:val="00930937"/>
    <w:rsid w:val="00932470"/>
    <w:rsid w:val="00933FE6"/>
    <w:rsid w:val="00935E08"/>
    <w:rsid w:val="009423AD"/>
    <w:rsid w:val="0094584E"/>
    <w:rsid w:val="009467F5"/>
    <w:rsid w:val="00946ECC"/>
    <w:rsid w:val="00952795"/>
    <w:rsid w:val="00953207"/>
    <w:rsid w:val="0095520E"/>
    <w:rsid w:val="00963807"/>
    <w:rsid w:val="00965F9D"/>
    <w:rsid w:val="00972BE8"/>
    <w:rsid w:val="00975017"/>
    <w:rsid w:val="00983CCC"/>
    <w:rsid w:val="00983EFA"/>
    <w:rsid w:val="0099393C"/>
    <w:rsid w:val="009A63A0"/>
    <w:rsid w:val="009A6EF5"/>
    <w:rsid w:val="009B35DE"/>
    <w:rsid w:val="009B4B23"/>
    <w:rsid w:val="009B5D79"/>
    <w:rsid w:val="009D25C6"/>
    <w:rsid w:val="009D5294"/>
    <w:rsid w:val="009E2C20"/>
    <w:rsid w:val="009F0072"/>
    <w:rsid w:val="00A02592"/>
    <w:rsid w:val="00A06BA2"/>
    <w:rsid w:val="00A06D2F"/>
    <w:rsid w:val="00A06DC4"/>
    <w:rsid w:val="00A168C0"/>
    <w:rsid w:val="00A238B6"/>
    <w:rsid w:val="00A30C68"/>
    <w:rsid w:val="00A33AC8"/>
    <w:rsid w:val="00A40DBD"/>
    <w:rsid w:val="00A450A0"/>
    <w:rsid w:val="00A45641"/>
    <w:rsid w:val="00A45914"/>
    <w:rsid w:val="00A5043D"/>
    <w:rsid w:val="00A544C8"/>
    <w:rsid w:val="00A54682"/>
    <w:rsid w:val="00A553CA"/>
    <w:rsid w:val="00A624A4"/>
    <w:rsid w:val="00A64E9E"/>
    <w:rsid w:val="00A65F7B"/>
    <w:rsid w:val="00A70500"/>
    <w:rsid w:val="00A86E0F"/>
    <w:rsid w:val="00A91281"/>
    <w:rsid w:val="00A9229B"/>
    <w:rsid w:val="00AA0C73"/>
    <w:rsid w:val="00AA43FE"/>
    <w:rsid w:val="00AA6350"/>
    <w:rsid w:val="00AA685A"/>
    <w:rsid w:val="00AB0159"/>
    <w:rsid w:val="00AB16E1"/>
    <w:rsid w:val="00AB425B"/>
    <w:rsid w:val="00AB6DBE"/>
    <w:rsid w:val="00AC0FBA"/>
    <w:rsid w:val="00AC15EF"/>
    <w:rsid w:val="00AC2E25"/>
    <w:rsid w:val="00AD0869"/>
    <w:rsid w:val="00AD2460"/>
    <w:rsid w:val="00AD444A"/>
    <w:rsid w:val="00AD7F52"/>
    <w:rsid w:val="00AE187B"/>
    <w:rsid w:val="00AE6490"/>
    <w:rsid w:val="00AE7EB7"/>
    <w:rsid w:val="00AF71CE"/>
    <w:rsid w:val="00B00EDB"/>
    <w:rsid w:val="00B06C22"/>
    <w:rsid w:val="00B06E32"/>
    <w:rsid w:val="00B07575"/>
    <w:rsid w:val="00B07B9D"/>
    <w:rsid w:val="00B16A2A"/>
    <w:rsid w:val="00B17212"/>
    <w:rsid w:val="00B17547"/>
    <w:rsid w:val="00B25FF6"/>
    <w:rsid w:val="00B32506"/>
    <w:rsid w:val="00B339A0"/>
    <w:rsid w:val="00B40DA9"/>
    <w:rsid w:val="00B42AB1"/>
    <w:rsid w:val="00B44059"/>
    <w:rsid w:val="00B4627F"/>
    <w:rsid w:val="00B50E38"/>
    <w:rsid w:val="00B517F2"/>
    <w:rsid w:val="00B53A01"/>
    <w:rsid w:val="00B54CD3"/>
    <w:rsid w:val="00B563DD"/>
    <w:rsid w:val="00B60449"/>
    <w:rsid w:val="00B64F64"/>
    <w:rsid w:val="00B66A8B"/>
    <w:rsid w:val="00B67771"/>
    <w:rsid w:val="00B71340"/>
    <w:rsid w:val="00B73FDF"/>
    <w:rsid w:val="00B80622"/>
    <w:rsid w:val="00B822DC"/>
    <w:rsid w:val="00B82E59"/>
    <w:rsid w:val="00B84F3B"/>
    <w:rsid w:val="00B86860"/>
    <w:rsid w:val="00BA11DA"/>
    <w:rsid w:val="00BA219C"/>
    <w:rsid w:val="00BA2B73"/>
    <w:rsid w:val="00BA2E5A"/>
    <w:rsid w:val="00BA3BB8"/>
    <w:rsid w:val="00BA6CD3"/>
    <w:rsid w:val="00BA7766"/>
    <w:rsid w:val="00BA77E3"/>
    <w:rsid w:val="00BB3434"/>
    <w:rsid w:val="00BB4DA5"/>
    <w:rsid w:val="00BC0D0A"/>
    <w:rsid w:val="00BC3A60"/>
    <w:rsid w:val="00BC54A0"/>
    <w:rsid w:val="00BD0F8A"/>
    <w:rsid w:val="00BD52C2"/>
    <w:rsid w:val="00BF27FB"/>
    <w:rsid w:val="00BF66DB"/>
    <w:rsid w:val="00C05451"/>
    <w:rsid w:val="00C056B0"/>
    <w:rsid w:val="00C05C78"/>
    <w:rsid w:val="00C15973"/>
    <w:rsid w:val="00C16784"/>
    <w:rsid w:val="00C23CDB"/>
    <w:rsid w:val="00C262A2"/>
    <w:rsid w:val="00C30A2F"/>
    <w:rsid w:val="00C32B82"/>
    <w:rsid w:val="00C36A53"/>
    <w:rsid w:val="00C4411B"/>
    <w:rsid w:val="00C51EDA"/>
    <w:rsid w:val="00C65431"/>
    <w:rsid w:val="00C672BE"/>
    <w:rsid w:val="00C7266E"/>
    <w:rsid w:val="00C74923"/>
    <w:rsid w:val="00C74C69"/>
    <w:rsid w:val="00C75552"/>
    <w:rsid w:val="00C76404"/>
    <w:rsid w:val="00C778FF"/>
    <w:rsid w:val="00C80DB7"/>
    <w:rsid w:val="00C84CE5"/>
    <w:rsid w:val="00C90D68"/>
    <w:rsid w:val="00C94E0B"/>
    <w:rsid w:val="00CB2165"/>
    <w:rsid w:val="00CB37F3"/>
    <w:rsid w:val="00CB704C"/>
    <w:rsid w:val="00CC10E9"/>
    <w:rsid w:val="00CD4191"/>
    <w:rsid w:val="00CD471E"/>
    <w:rsid w:val="00CD6583"/>
    <w:rsid w:val="00CE04F7"/>
    <w:rsid w:val="00CE6983"/>
    <w:rsid w:val="00D047DA"/>
    <w:rsid w:val="00D04BEA"/>
    <w:rsid w:val="00D05C13"/>
    <w:rsid w:val="00D06194"/>
    <w:rsid w:val="00D0651D"/>
    <w:rsid w:val="00D10724"/>
    <w:rsid w:val="00D15E27"/>
    <w:rsid w:val="00D201DA"/>
    <w:rsid w:val="00D24C0A"/>
    <w:rsid w:val="00D2656E"/>
    <w:rsid w:val="00D3097D"/>
    <w:rsid w:val="00D31AEF"/>
    <w:rsid w:val="00D40150"/>
    <w:rsid w:val="00D4085B"/>
    <w:rsid w:val="00D435C2"/>
    <w:rsid w:val="00D43F0A"/>
    <w:rsid w:val="00D6066F"/>
    <w:rsid w:val="00D60EF1"/>
    <w:rsid w:val="00D61DA9"/>
    <w:rsid w:val="00D62A52"/>
    <w:rsid w:val="00D65537"/>
    <w:rsid w:val="00D76286"/>
    <w:rsid w:val="00D82162"/>
    <w:rsid w:val="00D8305F"/>
    <w:rsid w:val="00D90AFC"/>
    <w:rsid w:val="00D95F0C"/>
    <w:rsid w:val="00DC6F4D"/>
    <w:rsid w:val="00DE20C2"/>
    <w:rsid w:val="00DE5EF4"/>
    <w:rsid w:val="00DF3E88"/>
    <w:rsid w:val="00DF469B"/>
    <w:rsid w:val="00E03FCE"/>
    <w:rsid w:val="00E06B08"/>
    <w:rsid w:val="00E07417"/>
    <w:rsid w:val="00E15ED1"/>
    <w:rsid w:val="00E2389A"/>
    <w:rsid w:val="00E251FD"/>
    <w:rsid w:val="00E31684"/>
    <w:rsid w:val="00E32DDA"/>
    <w:rsid w:val="00E32EE8"/>
    <w:rsid w:val="00E357FC"/>
    <w:rsid w:val="00E37D8F"/>
    <w:rsid w:val="00E4711B"/>
    <w:rsid w:val="00E537D5"/>
    <w:rsid w:val="00E5486D"/>
    <w:rsid w:val="00E571C2"/>
    <w:rsid w:val="00E605EA"/>
    <w:rsid w:val="00E64FFE"/>
    <w:rsid w:val="00E670D8"/>
    <w:rsid w:val="00E74900"/>
    <w:rsid w:val="00E74BCC"/>
    <w:rsid w:val="00E836D1"/>
    <w:rsid w:val="00E85198"/>
    <w:rsid w:val="00E860F3"/>
    <w:rsid w:val="00E958B0"/>
    <w:rsid w:val="00E958E3"/>
    <w:rsid w:val="00E9595B"/>
    <w:rsid w:val="00EA2860"/>
    <w:rsid w:val="00EA2CBA"/>
    <w:rsid w:val="00EA74C5"/>
    <w:rsid w:val="00EB2E5E"/>
    <w:rsid w:val="00EC2CE5"/>
    <w:rsid w:val="00EC720F"/>
    <w:rsid w:val="00ED1A12"/>
    <w:rsid w:val="00ED316F"/>
    <w:rsid w:val="00ED6A14"/>
    <w:rsid w:val="00EF15B3"/>
    <w:rsid w:val="00EF38BF"/>
    <w:rsid w:val="00EF4C3F"/>
    <w:rsid w:val="00EF786E"/>
    <w:rsid w:val="00F00BC4"/>
    <w:rsid w:val="00F0175D"/>
    <w:rsid w:val="00F03D87"/>
    <w:rsid w:val="00F1324F"/>
    <w:rsid w:val="00F22702"/>
    <w:rsid w:val="00F2289D"/>
    <w:rsid w:val="00F30092"/>
    <w:rsid w:val="00F321D7"/>
    <w:rsid w:val="00F34287"/>
    <w:rsid w:val="00F36DAE"/>
    <w:rsid w:val="00F43612"/>
    <w:rsid w:val="00F45DBB"/>
    <w:rsid w:val="00F460EB"/>
    <w:rsid w:val="00F46141"/>
    <w:rsid w:val="00F472FC"/>
    <w:rsid w:val="00F47E3B"/>
    <w:rsid w:val="00F5209A"/>
    <w:rsid w:val="00F542EA"/>
    <w:rsid w:val="00F5785D"/>
    <w:rsid w:val="00F629D0"/>
    <w:rsid w:val="00F637C3"/>
    <w:rsid w:val="00F63972"/>
    <w:rsid w:val="00F67F4B"/>
    <w:rsid w:val="00F83FCC"/>
    <w:rsid w:val="00F85BD3"/>
    <w:rsid w:val="00F8682C"/>
    <w:rsid w:val="00F90E18"/>
    <w:rsid w:val="00F90E1B"/>
    <w:rsid w:val="00F92013"/>
    <w:rsid w:val="00FA00E1"/>
    <w:rsid w:val="00FA2448"/>
    <w:rsid w:val="00FA3D40"/>
    <w:rsid w:val="00FA4CAA"/>
    <w:rsid w:val="00FB1A4D"/>
    <w:rsid w:val="00FB7C76"/>
    <w:rsid w:val="00FD4AD2"/>
    <w:rsid w:val="00FE44AD"/>
    <w:rsid w:val="00FF1B74"/>
    <w:rsid w:val="00FF2302"/>
    <w:rsid w:val="00FF2EA9"/>
    <w:rsid w:val="00FF3C1E"/>
    <w:rsid w:val="00FF51D2"/>
    <w:rsid w:val="00FF5A0C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8BD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97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159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4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D6918-1BFF-450A-BF39-D3405B351D64}">
  <ds:schemaRefs>
    <ds:schemaRef ds:uri="http://schemas.microsoft.com/office/2006/metadata/properties"/>
    <ds:schemaRef ds:uri="9904cd28-e998-4c0a-a469-48e92015d5b0"/>
    <ds:schemaRef ds:uri="http://purl.org/dc/terms/"/>
    <ds:schemaRef ds:uri="74e46bd8-2d3a-46c4-a507-7dab1b7d08c1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57A3A9-ED8E-4A65-8909-677602E05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4DF290-99E2-4123-B417-9AFD256CB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Ayan Sengupta</cp:lastModifiedBy>
  <cp:revision>14</cp:revision>
  <cp:lastPrinted>2020-02-10T06:14:00Z</cp:lastPrinted>
  <dcterms:created xsi:type="dcterms:W3CDTF">2021-01-19T00:16:00Z</dcterms:created>
  <dcterms:modified xsi:type="dcterms:W3CDTF">2021-04-06T22:54:00Z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  <property fmtid="{D5CDD505-2E9C-101B-9397-08002B2CF9AE}" pid="3" name="_dlc_DocIdItemGuid">
    <vt:lpwstr>fb26ee5c-6a6a-440f-b70c-a3a5d11e97b3</vt:lpwstr>
  </property>
</Properties>
</file>